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Proposta de teste e implementação</w:t>
        <w:br/>
        <w:t>Aplicação local de apoio à análise da negociação coletiva</w:t>
        <w:br/>
        <w:t>(Pipeline CCT → MaxQDA)</w:t>
      </w:r>
    </w:p>
    <w:p>
      <w:pPr>
        <w:jc w:val="center"/>
      </w:pPr>
      <w:r>
        <w:rPr>
          <w:i/>
        </w:rPr>
        <w:t>Centro de Relações Laborais · julho de 2026</w:t>
      </w:r>
    </w:p>
    <w:p>
      <w:pPr>
        <w:pStyle w:val="Heading1"/>
      </w:pPr>
      <w:r>
        <w:t>1. Enquadramento e objetivo</w:t>
      </w:r>
    </w:p>
    <w:p>
      <w:r>
        <w:t>O Centro de Relações Laborais (CRL) elabora anualmente o Relatório sobre a Evolução da Negociação Coletiva, que exige a análise, codificação temática e comparação de centenas de convenções coletivas publicadas no Boletim do Trabalho e Emprego (BTE). Grande parte deste trabalho é hoje manual, incluindo a comparação cláusula a cláusula entre versões das convenções, um processo que consome vários dias de trabalho especializado por ciclo.</w:t>
      </w:r>
    </w:p>
    <w:p>
      <w:r>
        <w:t>A aplicação que se propõe testar e implementar automatiza estas tarefas: converte os PDF do BTE em projetos MaxQDA pré-codificados por tema, produz ficheiros Excel de apoio às peritas e executa as comparações entre versões de forma determinística e auditável. A ferramenta foi desenvolvida e validada internamente com os dados de 2025, medida contra a codificação manual da equipa.</w:t>
      </w:r>
    </w:p>
    <w:p>
      <w:pPr>
        <w:pStyle w:val="Heading1"/>
      </w:pPr>
      <w:r>
        <w:t>2. Descrição sumária</w:t>
      </w:r>
    </w:p>
    <w:p>
      <w:pPr>
        <w:pStyle w:val="ListBullet"/>
      </w:pPr>
      <w:r>
        <w:t>Aplicação local (desktop), com interface gráfica simples e alternativa em linha de comandos.</w:t>
      </w:r>
    </w:p>
    <w:p>
      <w:pPr>
        <w:pStyle w:val="ListBullet"/>
      </w:pPr>
      <w:r>
        <w:t>Funciona integralmente offline: não envia dados para o exterior, não usa serviços cloud, não tem telemetria.</w:t>
      </w:r>
    </w:p>
    <w:p>
      <w:pPr>
        <w:pStyle w:val="ListBullet"/>
      </w:pPr>
      <w:r>
        <w:t>Entradas: PDF públicos do BTE e ficheiros exportados do MaxQDA pela equipa (Excel e QDC).</w:t>
      </w:r>
    </w:p>
    <w:p>
      <w:pPr>
        <w:pStyle w:val="ListBullet"/>
      </w:pPr>
      <w:r>
        <w:t>Saídas: projeto MaxQDA no formato aberto REFI-QDA (.qdpx), Excel de sugestões com contexto, e relatório de execução.</w:t>
      </w:r>
    </w:p>
    <w:p>
      <w:pPr>
        <w:pStyle w:val="ListBullet"/>
      </w:pPr>
      <w:r>
        <w:t>A configuração temática (livros de códigos) é feita em ficheiros de texto YAML editáveis pela equipa de análise, sem intervenção informática.</w:t>
      </w:r>
    </w:p>
    <w:p>
      <w:pPr>
        <w:pStyle w:val="Heading1"/>
      </w:pPr>
      <w:r>
        <w:t>3. Requisitos técnicos</w:t>
      </w:r>
    </w:p>
    <w:p>
      <w:r>
        <w:t>Requisitos completos no documento anexo REQUISITOS_TECNICOS.md. Síntese: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Sistema operativo</w:t>
            </w:r>
          </w:p>
        </w:tc>
        <w:tc>
          <w:tcPr>
            <w:tcW w:type="dxa" w:w="4320"/>
          </w:tcPr>
          <w:p>
            <w:r>
              <w:t>Windows 10/11 (principal); macOS 13+ (secundário)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Software base</w:t>
            </w:r>
          </w:p>
        </w:tc>
        <w:tc>
          <w:tcPr>
            <w:tcW w:type="dxa" w:w="4320"/>
          </w:tcPr>
          <w:p>
            <w:r>
              <w:t>Python 3.11+ 64 bits (instalador oficial, com tcl/tk)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Bibliotecas</w:t>
            </w:r>
          </w:p>
        </w:tc>
        <w:tc>
          <w:tcPr>
            <w:tcW w:type="dxa" w:w="4320"/>
          </w:tcPr>
          <w:p>
            <w:r>
              <w:t>4 pacotes open-source (licenças MIT/Apache): pdfplumber, openpyxl, PyYAML, jsonschema; interface em tkinter (biblioteca padrão do Python — sem instalações adicionais)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Privilégios</w:t>
            </w:r>
          </w:p>
        </w:tc>
        <w:tc>
          <w:tcPr>
            <w:tcW w:type="dxa" w:w="4320"/>
          </w:tcPr>
          <w:p>
            <w:r>
              <w:t>Utilizador normal; administração apenas na instalação inicial do Python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Rede</w:t>
            </w:r>
          </w:p>
        </w:tc>
        <w:tc>
          <w:tcPr>
            <w:tcW w:type="dxa" w:w="4320"/>
          </w:tcPr>
          <w:p>
            <w:r>
              <w:t>Não necessária em operação; instalação possível em rede fechada (pasta local de wheels)</w:t>
            </w:r>
          </w:p>
        </w:tc>
      </w:tr>
    </w:tbl>
    <w:p>
      <w:pPr>
        <w:pStyle w:val="Heading1"/>
      </w:pPr>
      <w:r>
        <w:t>4. Segurança e conformidade</w:t>
      </w:r>
    </w:p>
    <w:p>
      <w:pPr>
        <w:pStyle w:val="ListBullet"/>
      </w:pPr>
      <w:r>
        <w:t>Dados tratados: documentos públicos do BTE e ficheiros de trabalho da equipa; sem categorias especiais de dados pessoais além das constantes nos documentos públicos.</w:t>
      </w:r>
    </w:p>
    <w:p>
      <w:pPr>
        <w:pStyle w:val="ListBullet"/>
      </w:pPr>
      <w:r>
        <w:t>Todo o processamento e armazenamento é local, nas pastas do projeto.</w:t>
      </w:r>
    </w:p>
    <w:p>
      <w:pPr>
        <w:pStyle w:val="ListBullet"/>
      </w:pPr>
      <w:r>
        <w:t>Código-fonte auditável (~3 000 linhas de Python em ~15 módulos) com 99 testes automáticos.</w:t>
      </w:r>
    </w:p>
    <w:p>
      <w:pPr>
        <w:pStyle w:val="ListBullet"/>
      </w:pPr>
      <w:r>
        <w:t>Componente opcional de assistência por modelo de linguagem executa exclusivamente num servidor local (127.0.0.1); vem desligado por omissão e pode ser excluído da implementação.</w:t>
      </w:r>
    </w:p>
    <w:p>
      <w:pPr>
        <w:pStyle w:val="Heading1"/>
      </w:pPr>
      <w:r>
        <w:t>5. Plano de teste proposto (estação padrão)</w:t>
      </w:r>
    </w:p>
    <w:p>
      <w:r>
        <w:t>1. Instalação do Python 3.11+ 64 bits (instalador oficial, opção tcl/tk).</w:t>
      </w:r>
    </w:p>
    <w:p>
      <w:r>
        <w:t>2. Cópia da pasta da aplicação e criação do ambiente (pip install -r requirements.txt; possível offline).</w:t>
      </w:r>
    </w:p>
    <w:p>
      <w:r>
        <w:t>3. Verificação automática do ambiente: python -m cct.doctor (relatório em português).</w:t>
      </w:r>
    </w:p>
    <w:p>
      <w:r>
        <w:t>4. Execução da suite de testes: python -m pytest (99 testes, ~10 segundos).</w:t>
      </w:r>
    </w:p>
    <w:p>
      <w:r>
        <w:t>5. Abertura da interface gráfica (duplo clique em AppCCT.bat) e verificação pelos botões integrados.</w:t>
      </w:r>
    </w:p>
    <w:p>
      <w:r>
        <w:t>6. Corrida de fumo com 2 PDF de teste: geração de projeto.qdpx e Excel em menos de 1 minuto.</w:t>
      </w:r>
    </w:p>
    <w:p>
      <w:r>
        <w:t>7. Importação do projeto.qdpx no MaxQDA 2022+ e confirmação da árvore de códigos.</w:t>
      </w:r>
    </w:p>
    <w:p>
      <w:pPr>
        <w:pStyle w:val="Heading1"/>
      </w:pPr>
      <w:r>
        <w:t>6. O que se solicita ao Instituto de Informática</w:t>
      </w:r>
    </w:p>
    <w:p>
      <w:pPr>
        <w:pStyle w:val="ListBullet"/>
      </w:pPr>
      <w:r>
        <w:t>Autorização para instalação do Python 3.11+ e das 4 bibliotecas indicadas nas estações padrão da equipa do CRL (ou disponibilização por pacote/imagem).</w:t>
      </w:r>
    </w:p>
    <w:p>
      <w:pPr>
        <w:pStyle w:val="ListBullet"/>
      </w:pPr>
      <w:r>
        <w:t>Acompanhamento do plano de teste da secção 5 numa estação piloto.</w:t>
      </w:r>
    </w:p>
    <w:p>
      <w:pPr>
        <w:pStyle w:val="ListBullet"/>
      </w:pPr>
      <w:r>
        <w:t>Definição do circuito de atualização (a aplicação atualiza-se por substituição de uma pasta; sem instaladores nem serviços).</w:t>
      </w:r>
    </w:p>
    <w:p>
      <w:pPr>
        <w:pStyle w:val="Heading1"/>
      </w:pPr>
      <w:r>
        <w:t>7. Anexos</w:t>
      </w:r>
    </w:p>
    <w:p>
      <w:pPr>
        <w:pStyle w:val="ListBullet"/>
      </w:pPr>
      <w:r>
        <w:t>REQUISITOS_TECNICOS.md — requisitos e plano de teste detalhados</w:t>
      </w:r>
    </w:p>
    <w:p>
      <w:pPr>
        <w:pStyle w:val="ListBullet"/>
      </w:pPr>
      <w:r>
        <w:t>ARQUITETURA.md — esquema e descrição da arquitetura da aplicação</w:t>
      </w:r>
    </w:p>
    <w:p>
      <w:pPr>
        <w:pStyle w:val="ListBullet"/>
      </w:pPr>
      <w:r>
        <w:t>GUIA_OPERACAO.md — manual de operação para os utilizadores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