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440" w:lineRule="auto"/>
        <w:rPr/>
      </w:pPr>
      <w:r w:rsidDel="00000000" w:rsidR="00000000" w:rsidRPr="00000000">
        <w:rPr>
          <w:rFonts w:ascii="Arial" w:cs="Arial" w:eastAsia="Arial" w:hAnsi="Arial"/>
          <w:color w:val="7f7f7f"/>
          <w:sz w:val="20"/>
          <w:szCs w:val="20"/>
          <w:rtl w:val="0"/>
        </w:rPr>
        <w:t xml:space="preserve">Centro de Relações Laborais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720" w:before="0" w:lineRule="auto"/>
        <w:rPr/>
      </w:pPr>
      <w:r w:rsidDel="00000000" w:rsidR="00000000" w:rsidRPr="00000000">
        <w:rPr>
          <w:rFonts w:ascii="Arial" w:cs="Arial" w:eastAsia="Arial" w:hAnsi="Arial"/>
          <w:color w:val="7f7f7f"/>
          <w:sz w:val="20"/>
          <w:szCs w:val="20"/>
          <w:rtl w:val="0"/>
        </w:rPr>
        <w:t xml:space="preserve">Ministério do Trabalho e Segurança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Sistema de Análise de Convenções Coletivas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before="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Documentação de Suporte ao Projecto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f7f7f"/>
          <w:sz w:val="20"/>
          <w:szCs w:val="20"/>
          <w:rtl w:val="0"/>
        </w:rPr>
        <w:t xml:space="preserve">Versão de trabalho — Abril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c00000"/>
          <w:sz w:val="20"/>
          <w:szCs w:val="20"/>
          <w:rtl w:val="0"/>
        </w:rPr>
        <w:t xml:space="preserve">Este documento não é documentação final. Regista o estado </w:t>
      </w:r>
      <w:r w:rsidDel="00000000" w:rsidR="00000000" w:rsidRPr="00000000">
        <w:rPr>
          <w:i w:val="1"/>
          <w:iCs w:val="1"/>
          <w:color w:val="c00000"/>
          <w:sz w:val="20"/>
          <w:szCs w:val="20"/>
          <w:rtl w:val="0"/>
        </w:rPr>
        <w:t xml:space="preserve">atual</w:t>
      </w:r>
      <w:r w:rsidDel="00000000" w:rsidR="00000000" w:rsidRPr="00000000">
        <w:rPr>
          <w:rFonts w:ascii="Arial" w:cs="Arial" w:eastAsia="Arial" w:hAnsi="Arial"/>
          <w:i w:val="1"/>
          <w:iCs w:val="1"/>
          <w:color w:val="c00000"/>
          <w:sz w:val="20"/>
          <w:szCs w:val="20"/>
          <w:rtl w:val="0"/>
        </w:rPr>
        <w:t xml:space="preserve"> do pensamento sobre o </w:t>
      </w:r>
      <w:r w:rsidDel="00000000" w:rsidR="00000000" w:rsidRPr="00000000">
        <w:rPr>
          <w:i w:val="1"/>
          <w:iCs w:val="1"/>
          <w:color w:val="c00000"/>
          <w:sz w:val="20"/>
          <w:szCs w:val="20"/>
          <w:rtl w:val="0"/>
        </w:rPr>
        <w:t xml:space="preserve">projeto</w:t>
      </w:r>
      <w:r w:rsidDel="00000000" w:rsidR="00000000" w:rsidRPr="00000000">
        <w:rPr>
          <w:rFonts w:ascii="Arial" w:cs="Arial" w:eastAsia="Arial" w:hAnsi="Arial"/>
          <w:i w:val="1"/>
          <w:iCs w:val="1"/>
          <w:color w:val="c00000"/>
          <w:sz w:val="20"/>
          <w:szCs w:val="20"/>
          <w:rtl w:val="0"/>
        </w:rPr>
        <w:t xml:space="preserve">, incluindo lacunas, incertezas e questões em aberto.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e75b6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Como ler 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é um documento de trabalho, não um relatório final. O seu propósito é registar o estado </w:t>
      </w:r>
      <w:r w:rsidDel="00000000" w:rsidR="00000000" w:rsidRPr="00000000">
        <w:rPr>
          <w:rtl w:val="0"/>
        </w:rPr>
        <w:t xml:space="preserve">atual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do pensamento sobre o </w:t>
      </w:r>
      <w:r w:rsidDel="00000000" w:rsidR="00000000" w:rsidRPr="00000000">
        <w:rPr>
          <w:rtl w:val="0"/>
        </w:rPr>
        <w:t xml:space="preserve">projeto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incluindo o que está bem fundamentado, o que é hipótese de trabalho, e o que está por definir. Textos a vermelho assinalam lacunas </w:t>
      </w:r>
      <w:r w:rsidDel="00000000" w:rsidR="00000000" w:rsidRPr="00000000">
        <w:rPr>
          <w:rtl w:val="0"/>
        </w:rPr>
        <w:t xml:space="preserve">e incertezas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 precisam de ser resolvidas antes de qualquer implementação definitiva.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Três convenções tipográficas são usadas ao longo do documento: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7f7f7f"/>
          <w:sz w:val="20"/>
          <w:szCs w:val="20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7f7f7f"/>
          <w:sz w:val="20"/>
          <w:szCs w:val="20"/>
          <w:rtl w:val="0"/>
        </w:rPr>
        <w:t xml:space="preserve">Explicação adicional ou contexto técnico que não é essencial para a compreensão geral.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Atenção: </w:t>
      </w:r>
      <w:r w:rsidDel="00000000" w:rsidR="00000000" w:rsidRPr="00000000">
        <w:rPr>
          <w:rFonts w:ascii="Arial" w:cs="Arial" w:eastAsia="Arial" w:hAnsi="Arial"/>
          <w:color w:val="c00000"/>
          <w:sz w:val="20"/>
          <w:szCs w:val="20"/>
          <w:rtl w:val="0"/>
        </w:rPr>
        <w:t xml:space="preserve">Lacuna, incerteza ou decisão em aberto que requer atenção antes de avançar.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Secções marcadas com [A VERIFICAR] contêm afirmações que precisam de ser validadas contra a realidade do corpus documental ou contra fontes legais.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e75b6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1. Contexto e Objectivos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1.1 Enquadramento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Centro de Relações Laborais (CRL), integrado no Ministério do Trabalho e Segurança Social, tem como atribuição a produção anual do Relatório da Evolução da Negociação Coletiva em Portugal. Este relatório analisa as dinâmicas das relações laborais e apoia a decisão política.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produção do relatório baseia-se na análise sistemática de convenções coletivas publicadas no Boletim do Trabalho e Emprego (BTE). O CRL não possui estrutura de tecnologias de informação própria, dependendo do Instituto de Informática da Segurança Social para suporte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1.2 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processo </w:t>
      </w:r>
      <w:r w:rsidDel="00000000" w:rsidR="00000000" w:rsidRPr="00000000">
        <w:rPr>
          <w:rtl w:val="0"/>
        </w:rPr>
        <w:t xml:space="preserve">atual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 análise é manual e intensivo: os analistas lêem cada convenção, identificam as cláusulas relevantes, e codificam-nas manualmente em MAXQDA. Com cerca de 300 convenções por ano, este processo é insustentável a longo prazo e introduz variabilidade metodológica entre analistas e entre edições do relatório.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1.3 O objectivo do projecto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Construir um sistema que automatize parcialmente este processo, preservando o rigor analítico e a supervisão humana. A automatização não substitui o analista — reduz o trabalho repetitivo e aumenta a consistência, libertando tempo para análise substantiva.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suportar cerca de 300 convenções anuais e ser utilizável por técnicos com perfil básico de literacia tecnológica, através de uma interface web simples.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2e75b6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2. Taxonomia de Convenções: O que Sabemos e o que Falta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secção é a mais crítica do documento. A base de dados desenhada pressupõe uma taxonomia clara dos tipos de convenção — mas essa taxonomia foi esboçada a partir do raciocínio lógico e da observação de três PDFs, não de um mapeamento sistemático do corpus real. Isto é uma fragilidade séria.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Atenção: </w:t>
      </w:r>
      <w:r w:rsidDel="00000000" w:rsidR="00000000" w:rsidRPr="00000000">
        <w:rPr>
          <w:rFonts w:ascii="Arial" w:cs="Arial" w:eastAsia="Arial" w:hAnsi="Arial"/>
          <w:color w:val="c00000"/>
          <w:sz w:val="20"/>
          <w:szCs w:val="20"/>
          <w:rtl w:val="0"/>
        </w:rPr>
        <w:t xml:space="preserve">Tudo o que se descreve nesta secção sobre tipos, subtipos e formas de publicação é uma hipótese de trabalho. Precisa de ser validada contra o corpus real e contra as definições legais antes de ser usada para desenhar campos de base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2.1 O que diz a lei [A VERIFICAR]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Código do Trabalho (artigo 2.º) define os instrumentos de regulação coletiva de trabalho negociais. A hierarquia legal conhecida é a seguinte, mas a correspondência exacta com os tipos usados no BTE precisa de confirmação: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600"/>
        <w:gridCol w:w="2600"/>
        <w:gridCol w:w="1626"/>
        <w:tblGridChange w:id="0">
          <w:tblGrid>
            <w:gridCol w:w="3200"/>
            <w:gridCol w:w="1600"/>
            <w:gridCol w:w="2600"/>
            <w:gridCol w:w="1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Instrumento legal (CT)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Abreviatura comum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Âmbito típico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Confirmado?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Contrato Coletivo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Associação patronal e sindicato(s)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Parcialmente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Acordo Coletivo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Empresa(s) plural e sindicato(s)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Parcialmente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Acordo de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empresa e sindicato(s) ou comissão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Parcialmente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Portaria de Extensão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Extensão de CCT/ACT a não-outorgantes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Portaria de Condições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Fixação de condições por portaria ministerial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7f7f7f"/>
          <w:sz w:val="20"/>
          <w:szCs w:val="20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7f7f7f"/>
          <w:sz w:val="20"/>
          <w:szCs w:val="20"/>
          <w:rtl w:val="0"/>
        </w:rPr>
        <w:t xml:space="preserve">A designação 'PR' que aparece nos nomes de ficheiro dos PDFs de teste (ex: 25_PR_001) pode significar 'Portaria de Revisão', mas não foi confirmado. Pode ser uma convenção interna da DGERT e não um tipo legal. Verificar antes de usar como campo de base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2.2 Subtipos observados [A VERIFICAR]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partir da observação dos PDFs de teste e do título do preâmbulo, identificam-se os seguintes subtipos, que correspondem à natureza da publicação (não ao tipo de instrumento):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2400"/>
        <w:gridCol w:w="1626"/>
        <w:tblGridChange w:id="0">
          <w:tblGrid>
            <w:gridCol w:w="2200"/>
            <w:gridCol w:w="2800"/>
            <w:gridCol w:w="2400"/>
            <w:gridCol w:w="1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Subtipo observado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Exemplo no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Impacto no processamento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Revisão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Substitui integralmente a convenção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confirmado no corpus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Texto completo disponível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Revisão parcial (alteração)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Altera apenas algumas cláusulas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25_PR_003 — 'Alteração salarial e outras'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Só as cláusulas alteradas — requer referência ao texto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Revisão salarial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Altera apenas tabelas salariais e cláusulas pecuniárias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25_PR_001 — documento de 2 páginas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Tabelas + cláusulas pecuniárias apenas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Texto novo (primeiro registo)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Primeira CCT de um sector ou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identificado no corpus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Texto completo, sem histórico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Atenção: </w:t>
      </w:r>
      <w:r w:rsidDel="00000000" w:rsidR="00000000" w:rsidRPr="00000000">
        <w:rPr>
          <w:rFonts w:ascii="Arial" w:cs="Arial" w:eastAsia="Arial" w:hAnsi="Arial"/>
          <w:color w:val="c00000"/>
          <w:sz w:val="20"/>
          <w:szCs w:val="20"/>
          <w:rtl w:val="0"/>
        </w:rPr>
        <w:t xml:space="preserve">Estes subtipos foram inferidos de três documentos. Podem existir outros no corpus real de 300 convenções. É necessário analisar uma amostra mais representativa antes de os fixar como valores de campo.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2.3 A distinção 'Forma' — o que está esclarecido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a conversa que originou este documento, foi clarificada uma distinção importante na forma de publicação, que tem impacto directo na estratégia de extracção: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2400"/>
        <w:gridCol w:w="1826"/>
        <w:tblGridChange w:id="0">
          <w:tblGrid>
            <w:gridCol w:w="2200"/>
            <w:gridCol w:w="2600"/>
            <w:gridCol w:w="2400"/>
            <w:gridCol w:w="1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Valor do campo 'forma'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Exemplo no título BTE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Estratégia de processamento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e_texto_consolidado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publicação inclui o texto consolidado completo como parte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CCT ACIP/FESAHT — Alteração salarial e outras/texto consolidado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Processar o texto consolidado como fonte principal; as alterações identificam o que mudou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com_texto_consolidado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publicação remete para um texto consolidado publicado separadamente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[A confirmar no corpus]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Necessário localizar e cruzar com o texto consolidado de 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texto_autonomo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Publicação sem texto consolidado associado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[A confirmar no corpus]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Processar o documento como unidade autónoma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7f7f7f"/>
          <w:sz w:val="20"/>
          <w:szCs w:val="20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7f7f7f"/>
          <w:sz w:val="20"/>
          <w:szCs w:val="20"/>
          <w:rtl w:val="0"/>
        </w:rPr>
        <w:t xml:space="preserve">O título '...alteração salarial e outras/texto consolidado' encontrado em 25_PR_003 sugere que o separador '/' distingue o tipo de alteração do modo de publicação. Esta interpretação precisa de ser confirmada com mais exemplos.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2.4 Campos de metadados — estado actual vs. necessário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base de dados desenhada inclui campos como 'tipo', 'subtipo' e 'forma' com valores controlados. O problema é que esses valores foram definidos antes de existir uma taxonomia validada. A tabela seguinte identifica o estado real de cada campo: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2400"/>
        <w:gridCol w:w="2026"/>
        <w:tblGridChange w:id="0">
          <w:tblGrid>
            <w:gridCol w:w="1800"/>
            <w:gridCol w:w="2800"/>
            <w:gridCol w:w="2400"/>
            <w:gridCol w:w="2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Valores actuais no esquema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Fonte da definição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CCT, ACT, AE, PE, PER, outro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Inferido do CT + observação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 — falta PCT e outros instrumentos menos comuns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Texto livre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Nenhuma — campo aberto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Baixa — sem valores controlados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e_texto_consolidado, com_texto_consolidado, texto_autonomo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Inferido de um exemplo + raciocínio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Baixa — validada num único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Texto livre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Nenhuma — campo aberto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Baixa — sem vocabulário controlado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bte_numero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Texto livre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Formato BTE observado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— formato estável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Directamente do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Atenção: </w:t>
      </w:r>
      <w:r w:rsidDel="00000000" w:rsidR="00000000" w:rsidRPr="00000000">
        <w:rPr>
          <w:rFonts w:ascii="Arial" w:cs="Arial" w:eastAsia="Arial" w:hAnsi="Arial"/>
          <w:color w:val="c00000"/>
          <w:sz w:val="20"/>
          <w:szCs w:val="20"/>
          <w:rtl w:val="0"/>
        </w:rPr>
        <w:t xml:space="preserve">Os campos 'tipo', 'subtipo' e 'forma' têm fiabilidade baixa a média. Antes de os usar em análise comparada ou em queries de exportação, é necessário fazer um inventário de pelo menos 30 a 50 convenções representativas e validar os valores contra o BTE e o 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2.5 O que é necessário fazer antes de fixar a taxonomia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construir uma taxonomia robusta de convenções, são necessários três passos que não foram ainda executados: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Primeiro, inventário sistemático do corpus: analisar uma amostra de 30 a 50 convenções de anos diferentes, sectores diferentes e tipos diferentes, e catalogar os valores reais de tipo, subtipo e forma que aparecem nos títulos do BTE.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Segundo, confronto com a lei: verificar a correspondência entre os instrumentos observados no BTE e a tipologia legal do CT, incluindo instrumentos menos comuns como as Portarias de Condições de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Terceiro, vocabulário controlado para o sector: o campo 'sector' está actualmente como texto livre, o que compromete qualquer análise comparada por sector. É necessário adoptar um vocabulário controlado — a CAE (Classificação das Actividades Económicas) é o candidato natural, mas pode ser demasiado granular para este efeito.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bottom w:color="2e75b6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3. Arquitetura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3.1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</w:t>
      </w:r>
      <w:r w:rsidDel="00000000" w:rsidR="00000000" w:rsidRPr="00000000">
        <w:rPr>
          <w:rtl w:val="0"/>
        </w:rPr>
        <w:t xml:space="preserve">arquitetura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evoluiu ao longo da conversa que originou este documento. A versão actual integra quatro camadas funcionais: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000"/>
        <w:gridCol w:w="2626"/>
        <w:tblGridChange w:id="0">
          <w:tblGrid>
            <w:gridCol w:w="2400"/>
            <w:gridCol w:w="4000"/>
            <w:gridCol w:w="2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Ingestão e normalização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Docling (extracção PDF) + Linter (regex + 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Implementada e testada (pipeline v2.1)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 + pgvector — armazena convenções, segmentos, códigos, embeddings, triplos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Esquema desenhado, não 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Análise semântica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LangExtract + Ollama (LLM local) — classificação por taxonomia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Implementada e testada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Interface de utilizador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 web (Streamlit) — validação por analistas, exportação MAXQDA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implementada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3.2 A pipeline actual (v2.1)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pipeline actual processa PDFs em quatro módulos sequenciais: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8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Módulo 1 (Extracção): pdfplumber com Docling como fallback. Extrai texto, estrutura e tabelas. Taxa de sucesso: 3/3 PDFs de teste processados.</w:t>
      </w:r>
    </w:p>
    <w:p w:rsidR="00000000" w:rsidDel="00000000" w:rsidP="00000000" w:rsidRDefault="00000000" w:rsidRPr="00000000" w14:paraId="0000009B">
      <w:pPr>
        <w:spacing w:after="80" w:before="80" w:lineRule="auto"/>
        <w:ind w:left="720" w:firstLine="0"/>
        <w:jc w:val="both"/>
        <w:rPr>
          <w:i w:val="1"/>
          <w:iCs w:val="1"/>
          <w:color w:val="2e75b6"/>
        </w:rPr>
      </w:pPr>
      <w:r w:rsidDel="00000000" w:rsidR="00000000" w:rsidRPr="00000000">
        <w:rPr>
          <w:i w:val="1"/>
          <w:iCs w:val="1"/>
          <w:color w:val="2e75b6"/>
          <w:rtl w:val="0"/>
        </w:rPr>
        <w:t xml:space="preserve">Precisa de refactoring. Terá de passar totalmente para Docling, por conseguir guardar melhor o formato da estrutura existente, com reconhecimento de títulos e tabelas.</w:t>
      </w:r>
    </w:p>
    <w:p w:rsidR="00000000" w:rsidDel="00000000" w:rsidP="00000000" w:rsidRDefault="00000000" w:rsidRPr="00000000" w14:paraId="0000009C">
      <w:pPr>
        <w:spacing w:after="80" w:before="80" w:lineRule="auto"/>
        <w:ind w:left="720" w:firstLine="0"/>
        <w:jc w:val="both"/>
        <w:rPr>
          <w:i w:val="1"/>
          <w:iCs w:val="1"/>
          <w:color w:val="2e75b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8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Módulo 2 (Legal Linting): normalização determinística por regex. Remove cabeçalhos e rodapés repetitivos, une linhas quebradas artificialmente, preserva estrutura legal. 146 transformações aplicadas em 86 páginas de teste.</w:t>
      </w:r>
    </w:p>
    <w:p w:rsidR="00000000" w:rsidDel="00000000" w:rsidP="00000000" w:rsidRDefault="00000000" w:rsidRPr="00000000" w14:paraId="0000009E">
      <w:pPr>
        <w:spacing w:after="80" w:before="80" w:lineRule="auto"/>
        <w:ind w:left="720" w:firstLine="0"/>
        <w:jc w:val="both"/>
        <w:rPr>
          <w:i w:val="1"/>
          <w:iCs w:val="1"/>
          <w:color w:val="2e75b6"/>
        </w:rPr>
      </w:pPr>
      <w:r w:rsidDel="00000000" w:rsidR="00000000" w:rsidRPr="00000000">
        <w:rPr>
          <w:i w:val="1"/>
          <w:iCs w:val="1"/>
          <w:color w:val="2e75b6"/>
          <w:rtl w:val="0"/>
        </w:rPr>
        <w:t xml:space="preserve">Depois do processo de refactoring da extração do texto, teremos de reajustar o linting, para compor o texto a tratar na fase seguinte.</w:t>
      </w:r>
    </w:p>
    <w:p w:rsidR="00000000" w:rsidDel="00000000" w:rsidP="00000000" w:rsidRDefault="00000000" w:rsidRPr="00000000" w14:paraId="0000009F">
      <w:pPr>
        <w:spacing w:after="80" w:before="80" w:lineRule="auto"/>
        <w:ind w:left="720" w:firstLine="0"/>
        <w:jc w:val="both"/>
        <w:rPr/>
      </w:pPr>
      <w:r w:rsidDel="00000000" w:rsidR="00000000" w:rsidRPr="00000000">
        <w:rPr>
          <w:i w:val="1"/>
          <w:iCs w:val="1"/>
          <w:color w:val="2e75b6"/>
          <w:rtl w:val="0"/>
        </w:rPr>
        <w:t xml:space="preserve">Tem de se ter em conta também o tratamento futuro das tabelas salariais e das tabelas que contém informação sobre categorias profissionais e descritivo de funções.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8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Módulo 3 (Análise estrutural): segmentação por tipo de elemento (cláusula, artigo, capítulo, alínea, etc.) e classificação por taxonomia. Taxa de classificação </w:t>
      </w:r>
      <w:r w:rsidDel="00000000" w:rsidR="00000000" w:rsidRPr="00000000">
        <w:rPr>
          <w:rtl w:val="0"/>
        </w:rPr>
        <w:t xml:space="preserve">atual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69,6% do corpus de teste.</w:t>
      </w:r>
    </w:p>
    <w:p w:rsidR="00000000" w:rsidDel="00000000" w:rsidP="00000000" w:rsidRDefault="00000000" w:rsidRPr="00000000" w14:paraId="000000A2">
      <w:pPr>
        <w:spacing w:after="80" w:before="80" w:lineRule="auto"/>
        <w:ind w:left="720" w:firstLine="0"/>
        <w:jc w:val="both"/>
        <w:rPr/>
      </w:pPr>
      <w:r w:rsidDel="00000000" w:rsidR="00000000" w:rsidRPr="00000000">
        <w:rPr>
          <w:i w:val="1"/>
          <w:iCs w:val="1"/>
          <w:color w:val="2e75b6"/>
          <w:rtl w:val="0"/>
        </w:rPr>
        <w:t xml:space="preserve">Esta fase irá corresponder ao futuro tratamento para inserção em base de dados. Teremos de estudar se o tratamento será sequencial (primeiro a deteção do sub-subtipo de convenção para definir o método de análise, depois a definição do que é que pertence ao texto, à revisão, ao texto consolidado, aos anexos, regulamentos, etc., o mapeamento dos elementos estruturais (preâmbulo, assinaturas), o mapeamento dos capítulos, secções, cláusulas, números, alíneas. Com essa informação, poderão ser criados os parágrafos, com os metadados correspondentes.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Módulo 4 (Exportação MAXQDA): gera ficheiro TXT no formato preprocessor do MAXQDA, com segmentos codificados pela taxonomia.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00" w:before="100" w:lineRule="auto"/>
        <w:ind w:left="360" w:firstLine="0"/>
        <w:rPr>
          <w:rFonts w:ascii="Arial" w:cs="Arial" w:eastAsia="Arial" w:hAnsi="Arial"/>
          <w:color w:val="c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Atenção: </w:t>
      </w:r>
      <w:r w:rsidDel="00000000" w:rsidR="00000000" w:rsidRPr="00000000">
        <w:rPr>
          <w:rFonts w:ascii="Arial" w:cs="Arial" w:eastAsia="Arial" w:hAnsi="Arial"/>
          <w:color w:val="c00000"/>
          <w:sz w:val="20"/>
          <w:szCs w:val="20"/>
          <w:rtl w:val="0"/>
        </w:rPr>
        <w:t xml:space="preserve">A taxa de classificação de 69,6% foi medida num corpus sintético e em três PDFs reais de alteração salarial — não em convenções completas com estrutura rica. O valor real em produção pode ser significativamente diferente, para melhor ou pior. Não usar este número como referência de desempenho sem validação adicional.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i w:val="1"/>
          <w:iCs w:val="1"/>
          <w:color w:val="2e75b6"/>
          <w:rtl w:val="0"/>
        </w:rPr>
        <w:t xml:space="preserve">A exportação para MAXQDA será realizada a partir dos elementos inseridos na base de dados. Isso irá permitir a sua exportação a pedido, possivelmente, já com informação prévia relativamente aos temas que estão incluídos em cada segmento.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3.3 A base de dados — o que foi desenhado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esquema SQL desenhado inclui cinco tabelas principais. O raciocínio subjacente é sólido, mas há problemas concretos que precisam de ser resolvidos antes da implementação: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4426"/>
        <w:tblGridChange w:id="0">
          <w:tblGrid>
            <w:gridCol w:w="1800"/>
            <w:gridCol w:w="2800"/>
            <w:gridCol w:w="4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identificado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convencoes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linha por convenção — metadados de 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campos 'tipo', 'subtipo' e 'forma' têm valores controlados baseados numa taxonomia incompleta (ver secção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linha por parágrafo/cláusula — unidade atómica de 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campo 'tipo_estrutural' pressupõe uma hierarquia estável; convenções com estruturas atípicas podem não encaixar bem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codigos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linha por código atribuído a um 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campo 'metodo' tem valores que misturarão a lógica actual (exacto, keyword, etc.) com lógica futura (manual); isto pode criar inconsistências na análise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embeddings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Vector semântico por 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Dimensão fixada em 768 para multilingual-e5-base; mudar o modelo exige re-calcular e migrar todos os vectores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triplos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Triplos sujeito→predicado→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objeto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por 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vocabulário de predicados foi definido a priori sem validação empírica; pode não cobrir os padrões reais do corpus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3.4 O que não está implementado e o que isso significa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Vários componentes foram discutidos mas não têm ainda qualquer implementação. É importante distinguir o que existe do que é plano: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00"/>
        <w:gridCol w:w="4426"/>
        <w:tblGridChange w:id="0">
          <w:tblGrid>
            <w:gridCol w:w="2400"/>
            <w:gridCol w:w="2200"/>
            <w:gridCol w:w="4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Estado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Pré-requisito para implementar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de dados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Esquema SQL escrito, não instalado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Servidor PostgreSQL com pgvector no Instituto de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Script de migração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Escrito, não testado com dados 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de dados instalada; corpus completo de 2025 processado pela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Embeddings semânticos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Arquitectura definida, não 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de dados instalada; escolha do modelo de embeddings validada com o corpus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Extracção de triplos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Conceito definido, não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Vocabulário de predicados validado; base de dados com corpus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Grafo de conhecimento (Graphiti)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Conceito discutido, não especificado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Triplos validados; decisão sobre infraestrutura de grafos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Comparação com o 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Conceito discutido, não especificado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Triplos do CT processados; vocabulário de comparação definido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 web (Streamlit)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Interface esboçada conceitualmente, não implementada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de dados instalada e com dados migrados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Análise em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Possibilidade confirmada, não configurada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de dados acessível a partir do ambiente 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Bdr>
          <w:bottom w:color="2e75b6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4. As Três Camadas de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Uma das contribuições conceptuais mais importantes desta conversa foi a identificação de três camadas de análise ortogonais — independentes entre si, mas que se cruzam em cada segmento de 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4.1 Camada 1: Estrutura documental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Define onde está um conceito no documento. Inclui a hierarquia formal (preâmbulo, capítulo, secção, cláusula, número, alínea, anexo) e o tipo de publicação (forma). Esta camada está parcialmente implementada no Módulo 3 da pipeline </w:t>
      </w:r>
      <w:r w:rsidDel="00000000" w:rsidR="00000000" w:rsidRPr="00000000">
        <w:rPr>
          <w:rtl w:val="0"/>
        </w:rPr>
        <w:t xml:space="preserve">atual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que falta: a 'Forma' da convenção ainda não é usada como sinal para a estratégia de </w:t>
      </w:r>
      <w:r w:rsidDel="00000000" w:rsidR="00000000" w:rsidRPr="00000000">
        <w:rPr>
          <w:rtl w:val="0"/>
        </w:rPr>
        <w:t xml:space="preserve">extração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Uma convenção publicada 'com texto consolidado' deveria ser processada de forma diferente de uma publicação autónoma.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4.2 Camada 2: Ontologia temática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Define o que um segmento significa — o seu conteúdo substantivo mapeado para conceitos da negociação coletiva. Esta camada é o que a taxonomia MAXQDA atual representa.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que falta: as relações entre conceitos. </w:t>
      </w:r>
      <w:r w:rsidDel="00000000" w:rsidR="00000000" w:rsidRPr="00000000">
        <w:rPr>
          <w:rtl w:val="0"/>
        </w:rPr>
        <w:t xml:space="preserve">Atualmente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taxonomia é uma árvore de classificação, não uma ontologia com relações explícitas. A ideia de usar embeddings semânticos para induzir relações a partir do corpus é promissora mas não foi ainda iniciada.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4.3 Camada 3: Hierarquia jurídica (adiada deliberadamente)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Define o peso normativo de cada conceito no sistema de fontes. Esta camada foi discutida em detalhe e a decisão foi adiá-la conscientemente, por três razões: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sua construção exige trabalho jurídico especializado não automatizável. A sua manutenção é exigente porque a lei muda. E a sua integração prematura na taxonomia pode enviesar a análise qualitativa antes de ela acontecer.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decisão foi adiar e não abandonar. Quando a base de dados estiver estável e o corpus validado, esta camada pode ser adicionada como atributo opcional dos conceitos da taxonomia, sem quebrar o que já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bottom w:color="2e75b6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5. Tecnologias e Escolhas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5.1 Escolhas confirmadas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626"/>
        <w:tblGridChange w:id="0">
          <w:tblGrid>
            <w:gridCol w:w="2200"/>
            <w:gridCol w:w="2200"/>
            <w:gridCol w:w="4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Tecnologia escolhida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Razão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Extracção de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pdfplumber + Docling (fallback)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Testado com corpus real; Docling melhor para estrutura, pdfplumber mais rápido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 + regex (Legal Linting)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Determinístico, auditável, sem dependências externas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LLM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Ollama + qwen2.5:3b (ou 7b)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Execução local sem APIs cloud; validado com 87,5% de precisão no corpus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Classificação semântica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LangExtract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Integração nativa com Ollama; few-shot learning suficiente para o domínio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Análise qualitativa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MAXQDA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Ferramenta actual da equipa; mantido como destino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Análise quantitativa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 + RStudio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Ligação directa à base de dados via DBI; análise estatística e visualização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5.2 Escolhas em aberto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4026"/>
        <w:tblGridChange w:id="0">
          <w:tblGrid>
            <w:gridCol w:w="2200"/>
            <w:gridCol w:w="28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Opções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 que falta para decidir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 + pgvector (recomendado) vs SQLite (mais simples)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Confirmação de que o Instituto de Informática consegue instalar pgvector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Modelo de embeddings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multilingual-e5-base vs nomic-embed-text vs outro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comparativo no corpus real; avaliação de qualidade para português jurídico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Interface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Streamlit (mais simples) vs FastAPI + React (mais robusto)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Decisão sobre quem mantém a app a longo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Infraestrutura de grafos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Graphiti vs Neo4j vs estrutura relacional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Validação da necessidade real; depende do avanço da extracção de triplos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pBdr>
          <w:bottom w:color="2e75b6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6. Riscos e Limitações Conhecidas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secção descreve os riscos identificados durante a conversa, sem suavização. Conhecer os riscos antes de os encontrar é a diferença entre um problema gerido e uma surpresa.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6.1 Riscos técnicos</w:t>
      </w: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5"/>
        <w:gridCol w:w="1590"/>
        <w:gridCol w:w="1635"/>
        <w:gridCol w:w="3180"/>
        <w:tblGridChange w:id="0">
          <w:tblGrid>
            <w:gridCol w:w="2625"/>
            <w:gridCol w:w="1590"/>
            <w:gridCol w:w="1635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Mitigação possível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Taxa de classificação real muito abaixo de 69,6% em convenções completas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 — compromete o valor da automatização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com amostra de convenções completas antes de prosseguir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Estrutura documental heterogénea demais para um esquema fixo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 — segmentos não encaixam nas categorias definidas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Campo 'outro' como válvula de escape; revisão do esquema após primeiros 50 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pgvector não disponível no servidor do Instituto de Informática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Baixa-Média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Médio — força volta a SQLite ou arquitectura 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Confirmar disponibilidade antes de qualquer desenvolvimento que dependa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Modelo de embeddings com fraca cobertura de português jurídico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Médio — relações inferidas são ruidosas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comparativo com corpus real antes de usar embeddings em produção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6.2 Riscos institucionais</w:t>
      </w:r>
      <w:r w:rsidDel="00000000" w:rsidR="00000000" w:rsidRPr="00000000">
        <w:rPr>
          <w:rtl w:val="0"/>
        </w:rPr>
      </w:r>
    </w:p>
    <w:tbl>
      <w:tblPr>
        <w:tblStyle w:val="Table1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5"/>
        <w:gridCol w:w="1575"/>
        <w:gridCol w:w="1650"/>
        <w:gridCol w:w="3180"/>
        <w:tblGridChange w:id="0">
          <w:tblGrid>
            <w:gridCol w:w="2625"/>
            <w:gridCol w:w="1575"/>
            <w:gridCol w:w="1650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Mitigação possível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 construída sem envolvimento do Instituto de Informática desde o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 (se não for endereçado)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 — app não é instalável ou não tem 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Envolver o Instituto de Informática na fase de desenho, não apenas na de instalação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Manutenção da taxonomia não sustentável a longo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 — a qualidade da classificação degrada sem manutenção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Definir processo de revisão anual da taxonomia como parte do fluxo de trabalho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Resistência dos analistas à mudança de 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Médio — adopção lenta ou incompleta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Envolver analistas no teste da interface de validação desde cedo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Financiamento não aprovado antes de investimento técnico significativo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Desconhecida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Faseamento do desenvolvimento — base de dados e migração primeiro, app depois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6.3 O que foi explicitamente excluído do âmbito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decisão consciente durante o processo de reflexão, os seguintes componentes foram excluídos do âmbito actual: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Hierarquia jurídica como camada da taxonomia: adiada por custo desproporcionado e risco de enviesar a análise. Pode ser adicionada mais tarde.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Inferência jurídica automática (decidir automaticamente se uma cláusula é mais ou menos favorável que a lei): tecnicamente possível nos casos simples, mas pouco fiável nos casos complexos sem supervisão humana extensiva.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Interoperabilidade com a DGERT ou o GEP/MTSSS: reconhecida como oportunidade futura mas excluída por barreiras institucionais </w:t>
      </w:r>
      <w:r w:rsidDel="00000000" w:rsidR="00000000" w:rsidRPr="00000000">
        <w:rPr>
          <w:rtl w:val="0"/>
        </w:rPr>
        <w:t xml:space="preserve">atuais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bottom w:color="2e75b6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7. Próximos Passos Recomendados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próximos passos estão ordenados por dependência — cada um é pré-requisito do seguinte. Não faz sentido avançar para o passo N+1 sem o passo N estar validado.</w:t>
      </w:r>
      <w:r w:rsidDel="00000000" w:rsidR="00000000" w:rsidRPr="00000000">
        <w:rPr>
          <w:rtl w:val="0"/>
        </w:rPr>
      </w:r>
    </w:p>
    <w:tbl>
      <w:tblPr>
        <w:tblStyle w:val="Table12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2820"/>
        <w:gridCol w:w="2805"/>
        <w:gridCol w:w="2520"/>
        <w:tblGridChange w:id="0">
          <w:tblGrid>
            <w:gridCol w:w="870"/>
            <w:gridCol w:w="2820"/>
            <w:gridCol w:w="2805"/>
            <w:gridCol w:w="2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 que fazer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Critério de conclusão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Inventário da taxonomia de convenções: analisar 30-50 convenções de 2024/2025, catalogar tipos, subtipos e formas 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com valores controlados validados para os campos 'tipo', 'subtipo', 'forma' e vocabulário para 'sector'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António + analista CRL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pipeline com corpus completo: processar 10-20 convenções completas (não apenas alterações salariais) e medir taxa de classificação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 de qualidade com taxa de classificação em convenções completas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António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Confirmar infraestrutura com o Instituto de Informática: verificar disponibilidade de PostgreSQL, pgvector e requisitos de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Confirmação escrita da disponibilidade da 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CRL + Instituto de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Rever e corrigir o esquema SQL: incorporar a taxonomia de convenções validada no passo 1 e resolver os problemas identificados na secção 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Esquema SQL revisto e validado contra uma amostra do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António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Instalar base de dados e executar migração: instalar PostgreSQL, executar o esquema, migrar o corpus de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 de dados operacional com corpus de 2025 migrado e 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António + Instituto de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Protótipo da interface de validação: construir interface Streamlit mínima para os analistas validarem segmentos e códigos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Interface testada por pelo menos um analista com um subconjunto real de convenções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António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Calcular embeddings para o corpus migrado: escolher modelo, calcular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vetores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guardar na base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Embeddings calculados e pesquisa de vizinhos mais próximos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António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pBdr>
          <w:bottom w:color="2e75b6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8. Questões em Aberto que Precisam de 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Estas são questões concretas que não foram respondidas durante a conversa e que têm impacto directo nas decisões técnicas. Estão aqui registadas para não se perderem.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8.1 Questões sobre o corpus documental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Qual é a distribuição real de tipos de convenção no corpus anual de 300 documentos? Quantos são CCT, ACT, AE, PE? Sem este número, o campo 'tipo' é especulativo.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Qual é a proporção de documentos de alteração salarial vs. convenções completas? Isto determina o impacto real da taxa de classificação.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80" w:before="8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Existem convenções no corpus que não seguem a estrutura hierárquica padrão (capítulo → cláusula → número → alínea)? Se sim, com que frequência?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8.2 Questões sobre a taxonomia MAXQDA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taxonomia </w:t>
      </w:r>
      <w:r w:rsidDel="00000000" w:rsidR="00000000" w:rsidRPr="00000000">
        <w:rPr>
          <w:rtl w:val="0"/>
        </w:rPr>
        <w:t xml:space="preserve">atual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(cerca de 500 nós) foi construída </w:t>
      </w:r>
      <w:r w:rsidDel="00000000" w:rsidR="00000000" w:rsidRPr="00000000">
        <w:rPr>
          <w:rtl w:val="0"/>
        </w:rPr>
        <w:t xml:space="preserve">indutivamente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ou a partir de um referencial teórico? Isto afecta a estabilidade dos nós e a sua interpretação.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Existe documentação do processo de construção da taxonomia — quem a construiu, quando, com base em quê? Sem esta informação, é difícil mantê-la ou expandi-la de forma consistente.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8.3 Questões sobre o processo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é que os analistas </w:t>
      </w:r>
      <w:r w:rsidDel="00000000" w:rsidR="00000000" w:rsidRPr="00000000">
        <w:rPr>
          <w:rtl w:val="0"/>
        </w:rPr>
        <w:t xml:space="preserve">atualmente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atribuem códigos MAXQDA? Fazem-no cláusula a cláusula, ou por convenção inteira? Isto afecta o design da interface de validação.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Existe um processo de revisão entre analistas? Se sim, como funciona? Isto afecta o design do sistema de gestão de utilizadores.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8.4 Questões sobre a infraestrutura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servidor do Instituto de Informática tem capacidade para correr Ollama com modelos de 3B a 7B parâmetros em CPU (sem GPU)? A resposta </w:t>
      </w:r>
      <w:r w:rsidDel="00000000" w:rsidR="00000000" w:rsidRPr="00000000">
        <w:rPr>
          <w:rtl w:val="0"/>
        </w:rPr>
        <w:t xml:space="preserve">afeta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diretamente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viabilidade da classificação automática.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Qual é a política de backups e disaster recovery para bases de dados no Instituto de Informática? O corpus tem valor institucional e não pode ser perdido.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bottom w:color="2e75b6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f7f7f"/>
          <w:sz w:val="18"/>
          <w:szCs w:val="18"/>
          <w:rtl w:val="0"/>
        </w:rPr>
        <w:t xml:space="preserve">Fim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f7f7f"/>
          <w:sz w:val="16"/>
          <w:szCs w:val="16"/>
          <w:rtl w:val="0"/>
        </w:rPr>
        <w:t xml:space="preserve">Versão de trabalho — Abril de 2026 — Centro de Relações Laborais / MTSSS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