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8.0" w:type="dxa"/>
        <w:jc w:val="left"/>
        <w:tblLayout w:type="fixed"/>
        <w:tblLook w:val="0400"/>
      </w:tblPr>
      <w:tblGrid>
        <w:gridCol w:w="7938"/>
        <w:tblGridChange w:id="0">
          <w:tblGrid>
            <w:gridCol w:w="7938"/>
          </w:tblGrid>
        </w:tblGridChange>
      </w:tblGrid>
      <w:tr>
        <w:trPr>
          <w:cantSplit w:val="0"/>
          <w:trHeight w:val="311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TUGAS AKHIR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Website Manajemen Bisnis Penjualan Ban PT. Goldfinger Wheels Indonesia dengan menggunakan Framework Laravel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307590" cy="2307590"/>
                  <wp:effectExtent b="0" l="0" r="0" t="0"/>
                  <wp:docPr descr="LOGO ISTTS TRANS PUTIH" id="1" name="image1.png"/>
                  <a:graphic>
                    <a:graphicData uri="http://schemas.openxmlformats.org/drawingml/2006/picture">
                      <pic:pic>
                        <pic:nvPicPr>
                          <pic:cNvPr descr="LOGO ISTTS TRANS PUTIH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90" cy="2307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Oleh: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Calvin Adhikang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220180494</w:t>
            </w:r>
          </w:p>
        </w:tc>
      </w:tr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SARJANA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STUDI SISTEM INFORMASI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FAKULTAS SAINS DAN TEKNOLOGI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INSTITUT SAINS DAN TEKNOLOGI TERPADU SURABAYA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SURABAYA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1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40" w:w="11907" w:orient="portrait"/>
      <w:pgMar w:bottom="1701" w:top="2268" w:left="2268" w:right="1701" w:header="1418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