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RIWAYAT HIDUP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left</wp:align>
            </wp:positionH>
            <wp:positionV relativeFrom="page">
              <wp:posOffset>2667000</wp:posOffset>
            </wp:positionV>
            <wp:extent cx="1518285" cy="205613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5291" r="4768" t="8656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056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524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23"/>
        <w:gridCol w:w="296"/>
        <w:gridCol w:w="3026"/>
        <w:tblGridChange w:id="0">
          <w:tblGrid>
            <w:gridCol w:w="1923"/>
            <w:gridCol w:w="296"/>
            <w:gridCol w:w="3026"/>
          </w:tblGrid>
        </w:tblGridChange>
      </w:tblGrid>
      <w:tr>
        <w:trPr>
          <w:cantSplit w:val="0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818" w:right="0" w:firstLine="818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Calvin Adhikang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Alamat Asal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Jl. Nanas IV No 404, Sidoarjo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Tempat/Tanggal Lahir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Surabaya, 2 April 2002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Jenjang Pendidikan: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2007 – 2014</w:t>
        <w:tab/>
        <w:t xml:space="preserve">SD Bright Kiddie,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2014 – 2017</w:t>
        <w:tab/>
        <w:t xml:space="preserve">SMP Nation Star Academy,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 – 2020</w:t>
        <w:tab/>
        <w:t xml:space="preserve">SMA Nation Star Academy,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 – 2024</w:t>
        <w:tab/>
        <w:t xml:space="preserve">Institut Sains dan Teknologi Terpadu Surabaya, Surabaya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(Program Studi S1 Sistem Informasi)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Pengalaman Kerja: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7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Januari 2023 – Juni 2023</w:t>
        <w:tab/>
        <w:tab/>
        <w:t xml:space="preserve">Programmer pada PT. UBS Gold Surabaya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40" w:w="11907" w:orient="portrait"/>
      <w:pgMar w:bottom="1701" w:top="2268" w:left="2268" w:right="1701" w:header="1418" w:footer="851"/>
      <w:pgNumType w:start="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