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312E81"/>
            <w:tcMar>
              <w:top w:w="620" w:type="dxa"/>
              <w:start w:w="420" w:type="dxa"/>
              <w:bottom w:w="620" w:type="dxa"/>
              <w:end w:w="420" w:type="dxa"/>
            </w:tcMar>
          </w:tcPr>
          <w:p>
            <w:pPr>
              <w:jc w:val="left"/>
            </w:pPr>
            <w:r>
              <w:rPr>
                <w:rFonts w:ascii="Aptos" w:hAnsi="Aptos"/>
                <w:b/>
                <w:color w:val="C7D2FE"/>
                <w:sz w:val="24"/>
              </w:rPr>
              <w:t>SWIFT FINANCIAL</w:t>
            </w:r>
          </w:p>
          <w:p>
            <w:pPr>
              <w:spacing w:before="520" w:after="240"/>
            </w:pPr>
            <w:r>
              <w:rPr>
                <w:rFonts w:ascii="Aptos Display" w:hAnsi="Aptos Display"/>
                <w:b/>
                <w:color w:val="FFFFFF"/>
                <w:sz w:val="60"/>
              </w:rPr>
              <w:t>Client User Guide</w:t>
            </w:r>
          </w:p>
          <w:p>
            <w:r>
              <w:rPr>
                <w:rFonts w:ascii="Aptos" w:hAnsi="Aptos"/>
                <w:color w:val="E0E7FF"/>
                <w:sz w:val="28"/>
              </w:rPr>
              <w:t>A practical guide to secure, accurate day-to-day use</w:t>
            </w:r>
          </w:p>
          <w:p>
            <w:pPr>
              <w:spacing w:before="720"/>
            </w:pPr>
            <w:r>
              <w:rPr>
                <w:rFonts w:ascii="Aptos" w:hAnsi="Aptos"/>
                <w:color w:val="C7D2FE"/>
                <w:sz w:val="20"/>
              </w:rPr>
              <w:t>Version 1.0  |  September 2026</w:t>
            </w:r>
          </w:p>
        </w:tc>
      </w:tr>
    </w:tbl>
    <w:p>
      <w:r>
        <w:rPr>
          <w:rFonts w:ascii="Aptos" w:hAnsi="Aptos"/>
        </w:rPr>
        <w:t>Prepared for: [Client organisation]</w:t>
      </w:r>
    </w:p>
    <w:p>
      <w:r>
        <w:rPr>
          <w:rFonts w:ascii="Aptos" w:hAnsi="Aptos"/>
        </w:rPr>
        <w:t>System URL: [Production URL]</w:t>
      </w:r>
    </w:p>
    <w:p>
      <w:r>
        <w:rPr>
          <w:rFonts w:ascii="Aptos" w:hAnsi="Aptos"/>
        </w:rPr>
        <w:t>Support contact: [Name, email and telephone]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312E81"/>
                <w:sz w:val="18"/>
              </w:rPr>
              <w:t>PURPOSE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This guide is for authorised client staff using Swift Financial. Available menus and actions depend on the permissions assigned to each user.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2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715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Document owner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[Client system owner]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Application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Swift Financial - Front Office Service Activities and related modules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Version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1.0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Issued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September 2026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Audience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Tellers, operations staff, supervisors, finance staff, administrators and authorised reviewers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Review cycle</w:t>
            </w:r>
          </w:p>
        </w:tc>
        <w:tc>
          <w:tcPr>
            <w:tcW w:type="dxa" w:w="71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Review after each major release, workflow change or permission-model change</w:t>
            </w:r>
          </w:p>
        </w:tc>
      </w:tr>
    </w:tbl>
    <w:p>
      <w:pPr>
        <w:spacing w:after="20"/>
      </w:pPr>
    </w:p>
    <w:p>
      <w:pPr>
        <w:pStyle w:val="Heading2"/>
      </w:pPr>
      <w:r>
        <w:t>How to use this guide</w:t>
      </w:r>
    </w:p>
    <w:p>
      <w:pPr>
        <w:pStyle w:val="ListBullet"/>
      </w:pPr>
      <w:r>
        <w:rPr>
          <w:rFonts w:ascii="Aptos" w:hAnsi="Aptos"/>
        </w:rPr>
        <w:t>Start with Quick start if you are a new user.</w:t>
      </w:r>
    </w:p>
    <w:p>
      <w:pPr>
        <w:pStyle w:val="ListBullet"/>
      </w:pPr>
      <w:r>
        <w:rPr>
          <w:rFonts w:ascii="Aptos" w:hAnsi="Aptos"/>
        </w:rPr>
        <w:t>Use the module overview to identify where a task belongs.</w:t>
      </w:r>
    </w:p>
    <w:p>
      <w:pPr>
        <w:pStyle w:val="ListBullet"/>
      </w:pPr>
      <w:r>
        <w:rPr>
          <w:rFonts w:ascii="Aptos" w:hAnsi="Aptos"/>
        </w:rPr>
        <w:t>Follow the numbered workflow and complete the checks before submitting.</w:t>
      </w:r>
    </w:p>
    <w:p>
      <w:pPr>
        <w:pStyle w:val="ListBullet"/>
      </w:pPr>
      <w:r>
        <w:rPr>
          <w:rFonts w:ascii="Aptos" w:hAnsi="Aptos"/>
        </w:rPr>
        <w:t>Ask a supervisor before repeating, reversing or correcting a financial transaction.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312E81"/>
                <w:sz w:val="18"/>
              </w:rPr>
              <w:t>SCOPE NOTE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This manual reflects the application routes and workflows present in the September 2026 client build. Your organisation may hide modules that are not licensed, configured or assigned to your role.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r>
        <w:rPr>
          <w:rFonts w:ascii="Aptos" w:hAnsi="Aptos"/>
        </w:rPr>
        <w:t>1. Quick start</w:t>
      </w:r>
    </w:p>
    <w:p>
      <w:r>
        <w:rPr>
          <w:rFonts w:ascii="Aptos" w:hAnsi="Aptos"/>
        </w:rPr>
        <w:t>2. Account security</w:t>
      </w:r>
    </w:p>
    <w:p>
      <w:r>
        <w:rPr>
          <w:rFonts w:ascii="Aptos" w:hAnsi="Aptos"/>
        </w:rPr>
        <w:t>3. Navigating the application</w:t>
      </w:r>
    </w:p>
    <w:p>
      <w:r>
        <w:rPr>
          <w:rFonts w:ascii="Aptos" w:hAnsi="Aptos"/>
        </w:rPr>
        <w:t>4. Common screen patterns</w:t>
      </w:r>
    </w:p>
    <w:p>
      <w:r>
        <w:rPr>
          <w:rFonts w:ascii="Aptos" w:hAnsi="Aptos"/>
        </w:rPr>
        <w:t>5. Module overview</w:t>
      </w:r>
    </w:p>
    <w:p>
      <w:r>
        <w:rPr>
          <w:rFonts w:ascii="Aptos" w:hAnsi="Aptos"/>
        </w:rPr>
        <w:t>6. Registry and customer records</w:t>
      </w:r>
    </w:p>
    <w:p>
      <w:r>
        <w:rPr>
          <w:rFonts w:ascii="Aptos" w:hAnsi="Aptos"/>
        </w:rPr>
        <w:t>7. Accounts and product setup</w:t>
      </w:r>
    </w:p>
    <w:p>
      <w:r>
        <w:rPr>
          <w:rFonts w:ascii="Aptos" w:hAnsi="Aptos"/>
        </w:rPr>
        <w:t>8. Front Office operations</w:t>
      </w:r>
    </w:p>
    <w:p>
      <w:r>
        <w:rPr>
          <w:rFonts w:ascii="Aptos" w:hAnsi="Aptos"/>
        </w:rPr>
        <w:t>9. Loans and check-off</w:t>
      </w:r>
    </w:p>
    <w:p>
      <w:r>
        <w:rPr>
          <w:rFonts w:ascii="Aptos" w:hAnsi="Aptos"/>
        </w:rPr>
        <w:t>10. Batch procedures and approvals</w:t>
      </w:r>
    </w:p>
    <w:p>
      <w:r>
        <w:rPr>
          <w:rFonts w:ascii="Aptos" w:hAnsi="Aptos"/>
        </w:rPr>
        <w:t>11. Reports, statements and messaging</w:t>
      </w:r>
    </w:p>
    <w:p>
      <w:r>
        <w:rPr>
          <w:rFonts w:ascii="Aptos" w:hAnsi="Aptos"/>
        </w:rPr>
        <w:t>12. Administration</w:t>
      </w:r>
    </w:p>
    <w:p>
      <w:r>
        <w:rPr>
          <w:rFonts w:ascii="Aptos" w:hAnsi="Aptos"/>
        </w:rPr>
        <w:t>13. Troubleshooting</w:t>
      </w:r>
    </w:p>
    <w:p>
      <w:r>
        <w:rPr>
          <w:rFonts w:ascii="Aptos" w:hAnsi="Aptos"/>
        </w:rPr>
        <w:t>14. Daily operating checklists</w:t>
      </w:r>
    </w:p>
    <w:p>
      <w:r>
        <w:rPr>
          <w:rFonts w:ascii="Aptos" w:hAnsi="Aptos"/>
        </w:rPr>
        <w:t>15. Support and handover details</w:t>
      </w:r>
    </w:p>
    <w:p>
      <w:r>
        <w:br w:type="page"/>
      </w:r>
    </w:p>
    <w:p>
      <w:pPr>
        <w:pStyle w:val="Heading1"/>
      </w:pPr>
      <w:r>
        <w:t>1. Quick start</w:t>
      </w:r>
    </w:p>
    <w:p>
      <w:pPr>
        <w:pStyle w:val="Heading2"/>
      </w:pPr>
      <w:r>
        <w:t>Sign in</w:t>
      </w:r>
    </w:p>
    <w:p>
      <w:pPr>
        <w:pStyle w:val="ListNumber"/>
      </w:pPr>
      <w:r>
        <w:rPr>
          <w:rFonts w:ascii="Aptos" w:hAnsi="Aptos"/>
        </w:rPr>
        <w:t>Open the production URL supplied by your system administrator.</w:t>
      </w:r>
    </w:p>
    <w:p>
      <w:pPr>
        <w:pStyle w:val="ListNumber"/>
      </w:pPr>
      <w:r>
        <w:rPr>
          <w:rFonts w:ascii="Aptos" w:hAnsi="Aptos"/>
        </w:rPr>
        <w:t>Enter your email address or username and password.</w:t>
      </w:r>
    </w:p>
    <w:p>
      <w:pPr>
        <w:pStyle w:val="ListNumber"/>
      </w:pPr>
      <w:r>
        <w:rPr>
          <w:rFonts w:ascii="Aptos" w:hAnsi="Aptos"/>
        </w:rPr>
        <w:t>Select Login. Wait for the home page and your permitted navigation areas to load.</w:t>
      </w:r>
    </w:p>
    <w:p>
      <w:pPr>
        <w:pStyle w:val="ListNumber"/>
      </w:pPr>
      <w:r>
        <w:rPr>
          <w:rFonts w:ascii="Aptos" w:hAnsi="Aptos"/>
        </w:rPr>
        <w:t>If prompted on first sign-in, enter the temporary password and choose a new password.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312E81"/>
                <w:sz w:val="18"/>
              </w:rPr>
              <w:t>PASSWORD RULES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A new password must contain at least 6 characters, including an uppercase letter, a lowercase letter, a number and a symbol.</w:t>
            </w:r>
          </w:p>
        </w:tc>
      </w:tr>
    </w:tbl>
    <w:p>
      <w:pPr>
        <w:spacing w:after="20"/>
      </w:pPr>
    </w:p>
    <w:p>
      <w:pPr>
        <w:pStyle w:val="Heading2"/>
      </w:pPr>
      <w:r>
        <w:t>Your first five checks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Check</w:t>
            </w:r>
          </w:p>
        </w:tc>
        <w:tc>
          <w:tcPr>
            <w:tcW w:type="dxa" w:w="7589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What to confirm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Identity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The displayed user account is yours; never work under another person's login.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Workspace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The selected module matches the task you intend to perform.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Branch/context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The applicable branch, teller, treasury, period or account context is correct.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Permissions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Only expected menus and actions are visible.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Connectivity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Lists load without a persistent error message.</w:t>
            </w:r>
          </w:p>
        </w:tc>
      </w:tr>
    </w:tbl>
    <w:p>
      <w:pPr>
        <w:spacing w:after="20"/>
      </w:pPr>
    </w:p>
    <w:p>
      <w:pPr>
        <w:pStyle w:val="Heading2"/>
      </w:pPr>
      <w:r>
        <w:t>Safe transaction habit</w:t>
      </w:r>
    </w:p>
    <w:p>
      <w:r>
        <w:rPr>
          <w:rFonts w:ascii="Aptos" w:hAnsi="Aptos"/>
        </w:rPr>
        <w:t>Search -&gt; select -&gt; verify -&gt; enter -&gt; review -&gt; submit -&gt; record the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F3C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2400E"/>
                <w:sz w:val="18"/>
              </w:rPr>
              <w:t>NEVER DOUBLE-SUBMIT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If the screen is still processing, do not click the action again. If the outcome is uncertain, search the relevant register or transaction journal before retrying.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2. Account security</w:t>
      </w:r>
    </w:p>
    <w:p>
      <w:pPr>
        <w:pStyle w:val="ListBullet"/>
      </w:pPr>
      <w:r>
        <w:rPr>
          <w:rFonts w:ascii="Aptos" w:hAnsi="Aptos"/>
        </w:rPr>
        <w:t>Keep passwords private. Administrators and support staff should never ask you to disclose your password.</w:t>
      </w:r>
    </w:p>
    <w:p>
      <w:pPr>
        <w:pStyle w:val="ListBullet"/>
      </w:pPr>
      <w:r>
        <w:rPr>
          <w:rFonts w:ascii="Aptos" w:hAnsi="Aptos"/>
        </w:rPr>
        <w:t>Use a unique password and change temporary credentials immediately.</w:t>
      </w:r>
    </w:p>
    <w:p>
      <w:pPr>
        <w:pStyle w:val="ListBullet"/>
      </w:pPr>
      <w:r>
        <w:rPr>
          <w:rFonts w:ascii="Aptos" w:hAnsi="Aptos"/>
        </w:rPr>
        <w:t>Lock or sign out when leaving the workstation.</w:t>
      </w:r>
    </w:p>
    <w:p>
      <w:pPr>
        <w:pStyle w:val="ListBullet"/>
      </w:pPr>
      <w:r>
        <w:rPr>
          <w:rFonts w:ascii="Aptos" w:hAnsi="Aptos"/>
        </w:rPr>
        <w:t>Do not export customer or financial information unless the business purpose and storage location are approved.</w:t>
      </w:r>
    </w:p>
    <w:p>
      <w:pPr>
        <w:pStyle w:val="ListBullet"/>
      </w:pPr>
      <w:r>
        <w:rPr>
          <w:rFonts w:ascii="Aptos" w:hAnsi="Aptos"/>
        </w:rPr>
        <w:t>Report unexpected menus, missing permissions or suspicious activity to the system owner.</w:t>
      </w:r>
    </w:p>
    <w:p>
      <w:pPr>
        <w:pStyle w:val="Heading2"/>
      </w:pPr>
      <w:r>
        <w:t>Access is role-based</w:t>
      </w:r>
    </w:p>
    <w:p>
      <w:r>
        <w:rPr>
          <w:rFonts w:ascii="Aptos" w:hAnsi="Aptos"/>
        </w:rPr>
        <w:t>The application builds the navigation menu from the signed-in user's roles and module permissions. A user may see fewer workspaces, folders and actions than a colleague. An Access denied screen means the route is controlled and has not been granted to the current user.</w:t>
      </w:r>
    </w:p>
    <w:p>
      <w:pPr>
        <w:pStyle w:val="Heading2"/>
      </w:pPr>
      <w:r>
        <w:t>When sign-in fails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Message or symptom</w:t>
            </w:r>
          </w:p>
        </w:tc>
        <w:tc>
          <w:tcPr>
            <w:tcW w:type="dxa" w:w="679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Missing fields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Enter both username/email and password.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Login failed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Check spelling and Caps Lock, then retry once. Contact the administrator if it continues.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Initial password change fails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Confirm both new-password entries match and meet all password rules.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Navigation cannot load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Select Retry. If it persists, record the time and report it.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Access denied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Return to an authorised menu. Ask the role administrator if the task is part of your duties.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3. Navigating the application</w:t>
      </w:r>
    </w:p>
    <w:p>
      <w:r>
        <w:rPr>
          <w:rFonts w:ascii="Aptos" w:hAnsi="Aptos"/>
        </w:rPr>
        <w:t>The application uses a top navigation bar, a workspace rail and a contextual sidebar. On smaller screens, use the menu button to open the navigation panel.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232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7445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Home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Shows permitted workspaces and provides a starting point for common functions.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Workspace rail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Switches between major areas such as Registry, Accounts, Front Office or Administration.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Context sidebar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Shows folders and pages available in the active workspace.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Global search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Locates supported screens or records where enabled.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Page header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Identifies the current function and contains primary actions such as Add or Create.</w:t>
            </w:r>
          </w:p>
        </w:tc>
      </w:tr>
      <w:tr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Alerts/dialogs</w:t>
            </w:r>
          </w:p>
        </w:tc>
        <w:tc>
          <w:tcPr>
            <w:tcW w:type="dxa" w:w="74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Confirm success, warn about missing information or request confirmation for a sensitive action.</w:t>
            </w:r>
          </w:p>
        </w:tc>
      </w:tr>
    </w:tbl>
    <w:p>
      <w:pPr>
        <w:spacing w:after="20"/>
      </w:pPr>
    </w:p>
    <w:p>
      <w:pPr>
        <w:pStyle w:val="Heading2"/>
      </w:pPr>
      <w:r>
        <w:t>Responsive use</w:t>
      </w:r>
    </w:p>
    <w:p>
      <w:pPr>
        <w:pStyle w:val="ListBullet"/>
      </w:pPr>
      <w:r>
        <w:rPr>
          <w:rFonts w:ascii="Aptos" w:hAnsi="Aptos"/>
        </w:rPr>
        <w:t>Desktop: both navigation panels remain visible.</w:t>
      </w:r>
    </w:p>
    <w:p>
      <w:pPr>
        <w:pStyle w:val="ListBullet"/>
      </w:pPr>
      <w:r>
        <w:rPr>
          <w:rFonts w:ascii="Aptos" w:hAnsi="Aptos"/>
        </w:rPr>
        <w:t>Tablet: select a workspace icon to open its menu.</w:t>
      </w:r>
    </w:p>
    <w:p>
      <w:pPr>
        <w:pStyle w:val="ListBullet"/>
      </w:pPr>
      <w:r>
        <w:rPr>
          <w:rFonts w:ascii="Aptos" w:hAnsi="Aptos"/>
        </w:rPr>
        <w:t>Mobile: use the menu button; close the overlay after choosing a page.</w:t>
      </w:r>
    </w:p>
    <w:p>
      <w:pPr>
        <w:pStyle w:val="Heading1"/>
      </w:pPr>
      <w:r>
        <w:t>4. Common screen patterns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7301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How to use it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Searchable customer picker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Type a supported identifier or name, wait for server results, select the correct customer and verify the retained selection.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List/register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Use search or filters, open a row for details, and use Prev/Next to move through pages.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Drawer/form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Complete required fields, scroll through the form, review, then use the fixed submit action.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Tabs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Tabs may represent transaction types or workflow stages. Confirm the active tab before acting.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Status badge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Green normally indicates active/authorised, amber pending/warning, blue informational/posted, red rejected/locked and gray neutral.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Confirmation alert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Read the full action and target. Cancel if any identifier, amount, date or status is wrong.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5. Module overview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944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5112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Typical functions</w:t>
            </w:r>
          </w:p>
        </w:tc>
        <w:tc>
          <w:tcPr>
            <w:tcW w:type="dxa" w:w="2621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Typical users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Registry / Membership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Customers, members, employers, zones, divisions, linkages and file tracking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Member service and registry staff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Accounts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Customer accounts, products, charges, journals, periods, bank reconciliation and budgets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Finance and product administrators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Front Office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Teller receipts/payments, treasury, transfers, cheques, deposits, closure and end of day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Tellers and supervisors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Loaning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Loan cases, appraisal, approval, verification, guarantors, restructuring and check-off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Credit and loans teams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Command Hub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Approval requests, messages and operational utilities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Approvers and supervisors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Reports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Loan, finance, member, statutory and user-defined reports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Managers, finance and auditors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Administration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Users, roles, modules, workflows, banks, branches, locations and audit logs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System administrators</w:t>
            </w:r>
          </w:p>
        </w:tc>
      </w:tr>
      <w:t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Other configured areas</w:t>
            </w:r>
          </w:p>
        </w:tc>
        <w:tc>
          <w:tcPr>
            <w:tcW w:type="dxa" w:w="511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Inventory, procurement/control, HR, payroll, fixed assets and microcredit</w:t>
            </w:r>
          </w:p>
        </w:tc>
        <w:tc>
          <w:tcPr>
            <w:tcW w:type="dxa" w:w="262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Specialist teams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F3C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2400E"/>
                <w:sz w:val="18"/>
              </w:rPr>
              <w:t>PERMISSION-DEPENDENT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Not every route in the installed application is necessarily enabled for production use. Follow the visible, assigned navigation rather than bookmarked or manually typed addresses.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Registry and customer records</w:t>
      </w:r>
    </w:p>
    <w:p>
      <w:pPr>
        <w:pStyle w:val="Heading2"/>
      </w:pPr>
      <w:r>
        <w:t>Find and review a customer</w:t>
      </w:r>
    </w:p>
    <w:p>
      <w:pPr>
        <w:pStyle w:val="ListNumber"/>
      </w:pPr>
      <w:r>
        <w:rPr>
          <w:rFonts w:ascii="Aptos" w:hAnsi="Aptos"/>
        </w:rPr>
        <w:t>Open Registry or Membership and choose Customers or Members.</w:t>
      </w:r>
    </w:p>
    <w:p>
      <w:pPr>
        <w:pStyle w:val="ListNumber"/>
      </w:pPr>
      <w:r>
        <w:rPr>
          <w:rFonts w:ascii="Aptos" w:hAnsi="Aptos"/>
        </w:rPr>
        <w:t>Search using the available customer identifiers or name fields.</w:t>
      </w:r>
    </w:p>
    <w:p>
      <w:pPr>
        <w:pStyle w:val="ListNumber"/>
      </w:pPr>
      <w:r>
        <w:rPr>
          <w:rFonts w:ascii="Aptos" w:hAnsi="Aptos"/>
        </w:rPr>
        <w:t>Select the matching record and verify name, identifier and organisational details.</w:t>
      </w:r>
    </w:p>
    <w:p>
      <w:pPr>
        <w:pStyle w:val="ListNumber"/>
      </w:pPr>
      <w:r>
        <w:rPr>
          <w:rFonts w:ascii="Aptos" w:hAnsi="Aptos"/>
        </w:rPr>
        <w:t>Use the detail tabs to review information, accounts, next of kin or statements where available.</w:t>
      </w:r>
    </w:p>
    <w:p>
      <w:pPr>
        <w:pStyle w:val="Heading2"/>
      </w:pPr>
      <w:r>
        <w:t>Register or amend a record</w:t>
      </w:r>
    </w:p>
    <w:p>
      <w:pPr>
        <w:pStyle w:val="ListNumber"/>
      </w:pPr>
      <w:r>
        <w:rPr>
          <w:rFonts w:ascii="Aptos" w:hAnsi="Aptos"/>
        </w:rPr>
        <w:t>Select the appropriate create/register action.</w:t>
      </w:r>
    </w:p>
    <w:p>
      <w:pPr>
        <w:pStyle w:val="ListNumber"/>
      </w:pPr>
      <w:r>
        <w:rPr>
          <w:rFonts w:ascii="Aptos" w:hAnsi="Aptos"/>
        </w:rPr>
        <w:t>Enter the details exactly as supported by source documentation.</w:t>
      </w:r>
    </w:p>
    <w:p>
      <w:pPr>
        <w:pStyle w:val="ListNumber"/>
      </w:pPr>
      <w:r>
        <w:rPr>
          <w:rFonts w:ascii="Aptos" w:hAnsi="Aptos"/>
        </w:rPr>
        <w:t>Choose the correct branch, employer, division, zone or station linkage.</w:t>
      </w:r>
    </w:p>
    <w:p>
      <w:pPr>
        <w:pStyle w:val="ListNumber"/>
      </w:pPr>
      <w:r>
        <w:rPr>
          <w:rFonts w:ascii="Aptos" w:hAnsi="Aptos"/>
        </w:rPr>
        <w:t>Check contact details and identifiers for transposition errors.</w:t>
      </w:r>
    </w:p>
    <w:p>
      <w:pPr>
        <w:pStyle w:val="ListNumber"/>
      </w:pPr>
      <w:r>
        <w:rPr>
          <w:rFonts w:ascii="Aptos" w:hAnsi="Aptos"/>
        </w:rPr>
        <w:t>Submit once and record the confirmation or customer reference.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91B1B"/>
                <w:sz w:val="18"/>
              </w:rPr>
              <w:t>CUSTOMER IDENTITY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Do not rely on name alone. Use at least one additional identifier before viewing, changing or transacting on a customer record.</w:t>
            </w:r>
          </w:p>
        </w:tc>
      </w:tr>
    </w:tbl>
    <w:p>
      <w:pPr>
        <w:spacing w:after="20"/>
      </w:pPr>
    </w:p>
    <w:p>
      <w:pPr>
        <w:pStyle w:val="Heading2"/>
      </w:pPr>
      <w:r>
        <w:t>Related functions</w:t>
      </w:r>
    </w:p>
    <w:p>
      <w:pPr>
        <w:pStyle w:val="ListBullet"/>
      </w:pPr>
      <w:r>
        <w:rPr>
          <w:rFonts w:ascii="Aptos" w:hAnsi="Aptos"/>
        </w:rPr>
        <w:t>Delegates and directors maintain authorised related persons.</w:t>
      </w:r>
    </w:p>
    <w:p>
      <w:pPr>
        <w:pStyle w:val="ListBullet"/>
      </w:pPr>
      <w:r>
        <w:rPr>
          <w:rFonts w:ascii="Aptos" w:hAnsi="Aptos"/>
        </w:rPr>
        <w:t>Station and branch linkage assign the appropriate organisational relationship.</w:t>
      </w:r>
    </w:p>
    <w:p>
      <w:pPr>
        <w:pStyle w:val="ListBullet"/>
      </w:pPr>
      <w:r>
        <w:rPr>
          <w:rFonts w:ascii="Aptos" w:hAnsi="Aptos"/>
        </w:rPr>
        <w:t>Conditional lending records product-specific conditions.</w:t>
      </w:r>
    </w:p>
    <w:p>
      <w:pPr>
        <w:pStyle w:val="ListBullet"/>
      </w:pPr>
      <w:r>
        <w:rPr>
          <w:rFonts w:ascii="Aptos" w:hAnsi="Aptos"/>
        </w:rPr>
        <w:t>File Tracking supports dispatch, receipt, recall and catalogue activities.</w:t>
      </w:r>
    </w:p>
    <w:p>
      <w:r>
        <w:br w:type="page"/>
      </w:r>
    </w:p>
    <w:p>
      <w:pPr>
        <w:pStyle w:val="Heading1"/>
      </w:pPr>
      <w:r>
        <w:t>7. Accounts and product setup</w:t>
      </w:r>
    </w:p>
    <w:p>
      <w:r>
        <w:rPr>
          <w:rFonts w:ascii="Aptos" w:hAnsi="Aptos"/>
        </w:rPr>
        <w:t>Accounts contains both operational inquiries and setup data. Setup changes can affect future transactions, charges and postings, so they should be restricted to authorised staff and tested under change control.</w:t>
      </w:r>
    </w:p>
    <w:p>
      <w:pPr>
        <w:pStyle w:val="Heading2"/>
      </w:pPr>
      <w:r>
        <w:t>Customer account workflow</w:t>
      </w:r>
    </w:p>
    <w:p>
      <w:pPr>
        <w:pStyle w:val="ListNumber"/>
      </w:pPr>
      <w:r>
        <w:rPr>
          <w:rFonts w:ascii="Aptos" w:hAnsi="Aptos"/>
        </w:rPr>
        <w:t>Find and verify the customer.</w:t>
      </w:r>
    </w:p>
    <w:p>
      <w:pPr>
        <w:pStyle w:val="ListNumber"/>
      </w:pPr>
      <w:r>
        <w:rPr>
          <w:rFonts w:ascii="Aptos" w:hAnsi="Aptos"/>
        </w:rPr>
        <w:t>Select the correct financial product and branch/context.</w:t>
      </w:r>
    </w:p>
    <w:p>
      <w:pPr>
        <w:pStyle w:val="ListNumber"/>
      </w:pPr>
      <w:r>
        <w:rPr>
          <w:rFonts w:ascii="Aptos" w:hAnsi="Aptos"/>
        </w:rPr>
        <w:t>Review account identifiers, status and linked facilities.</w:t>
      </w:r>
    </w:p>
    <w:p>
      <w:pPr>
        <w:pStyle w:val="ListNumber"/>
      </w:pPr>
      <w:r>
        <w:rPr>
          <w:rFonts w:ascii="Aptos" w:hAnsi="Aptos"/>
        </w:rPr>
        <w:t>Submit the registration or maintenance action.</w:t>
      </w:r>
    </w:p>
    <w:p>
      <w:pPr>
        <w:pStyle w:val="ListNumber"/>
      </w:pPr>
      <w:r>
        <w:rPr>
          <w:rFonts w:ascii="Aptos" w:hAnsi="Aptos"/>
        </w:rPr>
        <w:t>Confirm the new or changed account in the register before continuing.</w:t>
      </w:r>
    </w:p>
    <w:p>
      <w:pPr>
        <w:pStyle w:val="Heading2"/>
      </w:pPr>
      <w:r>
        <w:t>High-impact setup areas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24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643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Control expectation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Savings, investment and loan products</w:t>
            </w:r>
          </w:p>
        </w:tc>
        <w:tc>
          <w:tcPr>
            <w:tcW w:type="dxa" w:w="6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Use approved product specifications; independently review rates, limits, terms and charge settings.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Chart of accounts and mappings</w:t>
            </w:r>
          </w:p>
        </w:tc>
        <w:tc>
          <w:tcPr>
            <w:tcW w:type="dxa" w:w="6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Use the approved accounting structure; validate downstream posting behaviour.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Charges, levies and commissions</w:t>
            </w:r>
          </w:p>
        </w:tc>
        <w:tc>
          <w:tcPr>
            <w:tcW w:type="dxa" w:w="6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Confirm amount/rate, bearer, recovery mode, effective use and any exemptions.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Posting periods</w:t>
            </w:r>
          </w:p>
        </w:tc>
        <w:tc>
          <w:tcPr>
            <w:tcW w:type="dxa" w:w="6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Keep dates and open/closed status aligned with the finance calendar.</w:t>
            </w:r>
          </w:p>
        </w:tc>
      </w:tr>
      <w:tr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Tellers, treasuries and bank linkages</w:t>
            </w:r>
          </w:p>
        </w:tc>
        <w:tc>
          <w:tcPr>
            <w:tcW w:type="dxa" w:w="643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Verify assignment and currency/branch context before operational use.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91B1B"/>
                <w:sz w:val="18"/>
              </w:rPr>
              <w:t>IRREVERSIBLE PROCESSING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Posting-period closing creates fiscal closing journals. Perform it only under an approved finance procedure, after reconciliation, backup and supervisory sign-off.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8. Front Office operations</w:t>
      </w:r>
    </w:p>
    <w:p>
      <w:pPr>
        <w:pStyle w:val="Heading2"/>
      </w:pPr>
      <w:r>
        <w:t>Teller receipts and payments</w:t>
      </w:r>
    </w:p>
    <w:p>
      <w:r>
        <w:rPr>
          <w:rFonts w:ascii="Aptos" w:hAnsi="Aptos"/>
        </w:rPr>
        <w:t>Savings Receipts/Payments supports the main teller cycle, including deposits, withdrawals, cheque deposits and payment vouchers. The active transaction type controls the fields and processing route.</w:t>
      </w:r>
    </w:p>
    <w:p>
      <w:pPr>
        <w:pStyle w:val="ListNumber"/>
      </w:pPr>
      <w:r>
        <w:rPr>
          <w:rFonts w:ascii="Aptos" w:hAnsi="Aptos"/>
        </w:rPr>
        <w:t>Confirm you are assigned to the correct teller/treasury and operational date.</w:t>
      </w:r>
    </w:p>
    <w:p>
      <w:pPr>
        <w:pStyle w:val="ListNumber"/>
      </w:pPr>
      <w:r>
        <w:rPr>
          <w:rFonts w:ascii="Aptos" w:hAnsi="Aptos"/>
        </w:rPr>
        <w:t>Choose the transaction type.</w:t>
      </w:r>
    </w:p>
    <w:p>
      <w:pPr>
        <w:pStyle w:val="ListNumber"/>
      </w:pPr>
      <w:r>
        <w:rPr>
          <w:rFonts w:ascii="Aptos" w:hAnsi="Aptos"/>
        </w:rPr>
        <w:t>Search for and select the customer/account; verify identity and account status.</w:t>
      </w:r>
    </w:p>
    <w:p>
      <w:pPr>
        <w:pStyle w:val="ListNumber"/>
      </w:pPr>
      <w:r>
        <w:rPr>
          <w:rFonts w:ascii="Aptos" w:hAnsi="Aptos"/>
        </w:rPr>
        <w:t>Enter the amount, instrument/reference and required narrative.</w:t>
      </w:r>
    </w:p>
    <w:p>
      <w:pPr>
        <w:pStyle w:val="ListNumber"/>
      </w:pPr>
      <w:r>
        <w:rPr>
          <w:rFonts w:ascii="Aptos" w:hAnsi="Aptos"/>
        </w:rPr>
        <w:t>Review the transaction summary, especially debit/credit direction and cash versus cheque treatment.</w:t>
      </w:r>
    </w:p>
    <w:p>
      <w:pPr>
        <w:pStyle w:val="ListNumber"/>
      </w:pPr>
      <w:r>
        <w:rPr>
          <w:rFonts w:ascii="Aptos" w:hAnsi="Aptos"/>
        </w:rPr>
        <w:t>Submit once, retain the generated reference and issue the approved receipt or voucher.</w:t>
      </w:r>
    </w:p>
    <w:p>
      <w:pPr>
        <w:pStyle w:val="Heading2"/>
      </w:pPr>
      <w:r>
        <w:t>Treasury and cash management</w:t>
      </w:r>
    </w:p>
    <w:p>
      <w:pPr>
        <w:pStyle w:val="ListBullet"/>
      </w:pPr>
      <w:r>
        <w:rPr>
          <w:rFonts w:ascii="Aptos" w:hAnsi="Aptos"/>
        </w:rPr>
        <w:t>Cash Management controls teller/treasury cash movements.</w:t>
      </w:r>
    </w:p>
    <w:p>
      <w:pPr>
        <w:pStyle w:val="ListBullet"/>
      </w:pPr>
      <w:r>
        <w:rPr>
          <w:rFonts w:ascii="Aptos" w:hAnsi="Aptos"/>
        </w:rPr>
        <w:t>Cash Withdrawal Requests follow a create, browse, authorise or reject lifecycle.</w:t>
      </w:r>
    </w:p>
    <w:p>
      <w:pPr>
        <w:pStyle w:val="ListBullet"/>
      </w:pPr>
      <w:r>
        <w:rPr>
          <w:rFonts w:ascii="Aptos" w:hAnsi="Aptos"/>
        </w:rPr>
        <w:t>Fiscal Counts provide a read-only catalogue for recorded counts.</w:t>
      </w:r>
    </w:p>
    <w:p>
      <w:pPr>
        <w:pStyle w:val="Heading2"/>
      </w:pPr>
      <w:r>
        <w:t>Other Front Office functions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7229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Key check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Transfers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Select Cash or Cheque and verify both source and destination.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Cheques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Confirm the active Catalogue, Bank or Clear tab and cheque status.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Fixed deposits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Confirm product/type, term, maturity instruction and funding account.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Expense payables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Confirm beneficiary, expense purpose, amount and approval evidence.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Account closure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Confirm the account, balance treatment, charges and required authorisation.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In-house cheques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Verify drawer, payee, account, amount and instrument details.</w:t>
            </w:r>
          </w:p>
        </w:tc>
      </w:tr>
      <w:t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Automated clearing</w:t>
            </w:r>
          </w:p>
        </w:tc>
        <w:tc>
          <w:tcPr>
            <w:tcW w:type="dxa" w:w="722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Validate source file/batch, totals, duplicates and processing result.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91B1B"/>
                <w:sz w:val="18"/>
              </w:rPr>
              <w:t>CASH CONTROL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Never share tills, teller credentials or transaction references. Count cash in accordance with the organisation's dual-control and till-balancing procedure.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9. Loans and check-off</w:t>
      </w:r>
    </w:p>
    <w:p>
      <w:pPr>
        <w:pStyle w:val="Heading2"/>
      </w:pPr>
      <w:r>
        <w:t>Loan-case lifecycle</w:t>
      </w:r>
    </w:p>
    <w:p>
      <w:r>
        <w:rPr>
          <w:rFonts w:ascii="Aptos" w:hAnsi="Aptos"/>
        </w:rPr>
        <w:t>The configured loan-case pipeline separates duties across Registration, Appraisal, Approval, Verification/Audit and, where necessary, Cancellation.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301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Primary responsibility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Registration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Capture the applicant, requested facility, purpose, product and supporting details.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Appraisal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Assess eligibility, affordability, security, guarantors, income adjustments and policy compliance.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Approval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Record the authorised decision and terms within delegated limits.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Verification / Audit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Independently confirm evidence and approved terms before disbursement processing.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Cancellation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Cancel only an eligible case, with a documented reason and correct authority.</w:t>
            </w:r>
          </w:p>
        </w:tc>
      </w:tr>
    </w:tbl>
    <w:p>
      <w:pPr>
        <w:spacing w:after="20"/>
      </w:pPr>
    </w:p>
    <w:p>
      <w:pPr>
        <w:pStyle w:val="Heading2"/>
      </w:pPr>
      <w:r>
        <w:t>Guarantors and restructuring</w:t>
      </w:r>
    </w:p>
    <w:p>
      <w:pPr>
        <w:pStyle w:val="ListBullet"/>
      </w:pPr>
      <w:r>
        <w:rPr>
          <w:rFonts w:ascii="Aptos" w:hAnsi="Aptos"/>
        </w:rPr>
        <w:t>Guarantor Attachment supports attachment, substitution and relieving/history workflows.</w:t>
      </w:r>
    </w:p>
    <w:p>
      <w:pPr>
        <w:pStyle w:val="ListBullet"/>
      </w:pPr>
      <w:r>
        <w:rPr>
          <w:rFonts w:ascii="Aptos" w:hAnsi="Aptos"/>
        </w:rPr>
        <w:t>Guarantor Management adds a guarantor to an already registered case.</w:t>
      </w:r>
    </w:p>
    <w:p>
      <w:pPr>
        <w:pStyle w:val="ListBullet"/>
      </w:pPr>
      <w:r>
        <w:rPr>
          <w:rFonts w:ascii="Aptos" w:hAnsi="Aptos"/>
        </w:rPr>
        <w:t>Restructuring is account-based; confirm the customer account and approved revised terms.</w:t>
      </w:r>
    </w:p>
    <w:p>
      <w:pPr>
        <w:pStyle w:val="Heading2"/>
      </w:pPr>
      <w:r>
        <w:t>Check-off workflow</w:t>
      </w:r>
    </w:p>
    <w:p>
      <w:pPr>
        <w:pStyle w:val="ListNumber"/>
      </w:pPr>
      <w:r>
        <w:rPr>
          <w:rFonts w:ascii="Aptos" w:hAnsi="Aptos"/>
        </w:rPr>
        <w:t>Create or confirm an open data period.</w:t>
      </w:r>
    </w:p>
    <w:p>
      <w:pPr>
        <w:pStyle w:val="ListNumber"/>
      </w:pPr>
      <w:r>
        <w:rPr>
          <w:rFonts w:ascii="Aptos" w:hAnsi="Aptos"/>
        </w:rPr>
        <w:t>Capture/import entries against the correct customer product accounts.</w:t>
      </w:r>
    </w:p>
    <w:p>
      <w:pPr>
        <w:pStyle w:val="ListNumber"/>
      </w:pPr>
      <w:r>
        <w:rPr>
          <w:rFonts w:ascii="Aptos" w:hAnsi="Aptos"/>
        </w:rPr>
        <w:t>Reconcile control totals and exceptions.</w:t>
      </w:r>
    </w:p>
    <w:p>
      <w:pPr>
        <w:pStyle w:val="ListNumber"/>
      </w:pPr>
      <w:r>
        <w:rPr>
          <w:rFonts w:ascii="Aptos" w:hAnsi="Aptos"/>
        </w:rPr>
        <w:t>Close the period only after review and approval.</w:t>
      </w:r>
    </w:p>
    <w:p>
      <w:pPr>
        <w:pStyle w:val="ListNumber"/>
      </w:pPr>
      <w:r>
        <w:rPr>
          <w:rFonts w:ascii="Aptos" w:hAnsi="Aptos"/>
        </w:rPr>
        <w:t>Use Catalogue for read-only follow-up and evidence.</w:t>
      </w:r>
    </w:p>
    <w:p>
      <w:r>
        <w:br w:type="page"/>
      </w:r>
    </w:p>
    <w:p>
      <w:pPr>
        <w:pStyle w:val="Heading1"/>
      </w:pPr>
      <w:r>
        <w:t>10. Batch procedures and approvals</w:t>
      </w:r>
    </w:p>
    <w:p>
      <w:pPr>
        <w:pStyle w:val="Heading2"/>
      </w:pPr>
      <w:r>
        <w:t>Batch stages</w:t>
      </w:r>
    </w:p>
    <w:p>
      <w:r>
        <w:rPr>
          <w:rFonts w:ascii="Aptos" w:hAnsi="Aptos"/>
        </w:rPr>
        <w:t>Batch procedures use three controlled stages: Origination, Verification and Authorization. Each stage may include multiple batch-type tabs.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Stage</w:t>
            </w:r>
          </w:p>
        </w:tc>
        <w:tc>
          <w:tcPr>
            <w:tcW w:type="dxa" w:w="7589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Operator check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Origination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Correct batch type, source, period, row count, control total and duplicate check.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Verification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Independent comparison to source evidence; investigate all rejected or unmatched lines.</w:t>
            </w:r>
          </w:p>
        </w:tc>
      </w:tr>
      <w:tr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Authorization</w:t>
            </w:r>
          </w:p>
        </w:tc>
        <w:tc>
          <w:tcPr>
            <w:tcW w:type="dxa" w:w="7589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Authority, totals, exception resolution, accounting date and final release decision.</w:t>
            </w:r>
          </w:p>
        </w:tc>
      </w:tr>
    </w:tbl>
    <w:p>
      <w:pPr>
        <w:spacing w:after="20"/>
      </w:pPr>
    </w:p>
    <w:p>
      <w:pPr>
        <w:pStyle w:val="Heading2"/>
      </w:pPr>
      <w:r>
        <w:t>Command Hub approvals</w:t>
      </w:r>
    </w:p>
    <w:p>
      <w:pPr>
        <w:pStyle w:val="ListNumber"/>
      </w:pPr>
      <w:r>
        <w:rPr>
          <w:rFonts w:ascii="Aptos" w:hAnsi="Aptos"/>
        </w:rPr>
        <w:t>Open Command Hub &gt; Approval Requests.</w:t>
      </w:r>
    </w:p>
    <w:p>
      <w:pPr>
        <w:pStyle w:val="ListNumber"/>
      </w:pPr>
      <w:r>
        <w:rPr>
          <w:rFonts w:ascii="Aptos" w:hAnsi="Aptos"/>
        </w:rPr>
        <w:t>Filter or select the pending request.</w:t>
      </w:r>
    </w:p>
    <w:p>
      <w:pPr>
        <w:pStyle w:val="ListNumber"/>
      </w:pPr>
      <w:r>
        <w:rPr>
          <w:rFonts w:ascii="Aptos" w:hAnsi="Aptos"/>
        </w:rPr>
        <w:t>Open the detail and verify the originator, action, target record, amount and supporting context.</w:t>
      </w:r>
    </w:p>
    <w:p>
      <w:pPr>
        <w:pStyle w:val="ListNumber"/>
      </w:pPr>
      <w:r>
        <w:rPr>
          <w:rFonts w:ascii="Aptos" w:hAnsi="Aptos"/>
        </w:rPr>
        <w:t>Approve or reject according to delegated authority. Enter a useful reason when required.</w:t>
      </w:r>
    </w:p>
    <w:p>
      <w:pPr>
        <w:pStyle w:val="ListNumber"/>
      </w:pPr>
      <w:r>
        <w:rPr>
          <w:rFonts w:ascii="Aptos" w:hAnsi="Aptos"/>
        </w:rPr>
        <w:t>Confirm the resulting status and retain evidence where policy requires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F3C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2400E"/>
                <w:sz w:val="18"/>
              </w:rPr>
              <w:t>SEGREGATION OF DUTIES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An originator should not verify or authorise the same transaction unless the organisation has explicitly approved that control model.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11. Reports, statements and messaging</w:t>
      </w:r>
    </w:p>
    <w:p>
      <w:pPr>
        <w:pStyle w:val="Heading2"/>
      </w:pPr>
      <w:r>
        <w:t>Run a report</w:t>
      </w:r>
    </w:p>
    <w:p>
      <w:pPr>
        <w:pStyle w:val="ListNumber"/>
      </w:pPr>
      <w:r>
        <w:rPr>
          <w:rFonts w:ascii="Aptos" w:hAnsi="Aptos"/>
        </w:rPr>
        <w:t>Choose the report family: Loan, Financial, SASRA, Member Statement or User-Defined Reports.</w:t>
      </w:r>
    </w:p>
    <w:p>
      <w:pPr>
        <w:pStyle w:val="ListNumber"/>
      </w:pPr>
      <w:r>
        <w:rPr>
          <w:rFonts w:ascii="Aptos" w:hAnsi="Aptos"/>
        </w:rPr>
        <w:t>Set the customer, branch, account, period and other filters as applicable.</w:t>
      </w:r>
    </w:p>
    <w:p>
      <w:pPr>
        <w:pStyle w:val="ListNumber"/>
      </w:pPr>
      <w:r>
        <w:rPr>
          <w:rFonts w:ascii="Aptos" w:hAnsi="Aptos"/>
        </w:rPr>
        <w:t>Review the parameters before generating the report.</w:t>
      </w:r>
    </w:p>
    <w:p>
      <w:pPr>
        <w:pStyle w:val="ListNumber"/>
      </w:pPr>
      <w:r>
        <w:rPr>
          <w:rFonts w:ascii="Aptos" w:hAnsi="Aptos"/>
        </w:rPr>
        <w:t>Compare headline totals with the relevant register or control account.</w:t>
      </w:r>
    </w:p>
    <w:p>
      <w:pPr>
        <w:pStyle w:val="ListNumber"/>
      </w:pPr>
      <w:r>
        <w:rPr>
          <w:rFonts w:ascii="Aptos" w:hAnsi="Aptos"/>
        </w:rPr>
        <w:t>Export only when necessary and store the file in an approved location.</w:t>
      </w:r>
    </w:p>
    <w:p>
      <w:pPr>
        <w:pStyle w:val="Heading2"/>
      </w:pPr>
      <w:r>
        <w:t>Statements</w:t>
      </w:r>
    </w:p>
    <w:p>
      <w:r>
        <w:rPr>
          <w:rFonts w:ascii="Aptos" w:hAnsi="Aptos"/>
        </w:rPr>
        <w:t>Customer Account Statement and Member Statement functions may offer preview, mini/full statement or PDF output. Confirm the customer and account identifiers before displaying or distributing the statement.</w:t>
      </w:r>
    </w:p>
    <w:p>
      <w:pPr>
        <w:pStyle w:val="Heading2"/>
      </w:pPr>
      <w:r>
        <w:t>Messaging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76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7301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Guidance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Text alerts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Review the alert history/reference information available to your role.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Email alerts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Use history/detail/compose functions; verify recipients and attachments before sending.</w:t>
            </w:r>
          </w:p>
        </w:tc>
      </w:tr>
      <w:tr>
        <w:tc>
          <w:tcPr>
            <w:tcW w:type="dxa" w:w="2376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Instant messaging</w:t>
            </w:r>
          </w:p>
        </w:tc>
        <w:tc>
          <w:tcPr>
            <w:tcW w:type="dxa" w:w="7301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Use authorised direct or group conversations; do not place passwords or unnecessary sensitive data in messages.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E2E2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91B1B"/>
                <w:sz w:val="18"/>
              </w:rPr>
              <w:t>CONFIDENTIALITY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A report or statement remains confidential after export. Check recipients, file permissions and retention requirements before sharing.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12. Administration</w:t>
      </w:r>
    </w:p>
    <w:p>
      <w:r>
        <w:rPr>
          <w:rFonts w:ascii="Aptos" w:hAnsi="Aptos"/>
        </w:rPr>
        <w:t>Administration functions are intended for designated system administrators and control owners.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679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Administrator responsibility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Users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Create and maintain named accounts; disable leavers promptly; avoid shared accounts.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Roles and permission types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Apply least privilege and obtain business-owner approval for access changes.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Modules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Maintain the navigation/permission catalogue carefully; test visibility after change.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Workflows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Configure stages and approvals in line with delegated authority and segregation of duties.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Company, branches and locations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Keep organisational master data current and avoid duplicate records.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Banks and bank branches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Validate identifiers and linkages before financial use.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Audit logs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Use for investigation and review; preserve evidence and restrict access.</w:t>
            </w:r>
          </w:p>
        </w:tc>
      </w:tr>
    </w:tbl>
    <w:p>
      <w:pPr>
        <w:spacing w:after="20"/>
      </w:pPr>
    </w:p>
    <w:p>
      <w:pPr>
        <w:pStyle w:val="Heading2"/>
      </w:pPr>
      <w:r>
        <w:t>Access review checklist</w:t>
      </w:r>
    </w:p>
    <w:p>
      <w:pPr>
        <w:pStyle w:val="ListBullet"/>
      </w:pPr>
      <w:r>
        <w:rPr>
          <w:rFonts w:ascii="Aptos" w:hAnsi="Aptos"/>
        </w:rPr>
        <w:t>Review privileged roles and dormant accounts regularly.</w:t>
      </w:r>
    </w:p>
    <w:p>
      <w:pPr>
        <w:pStyle w:val="ListBullet"/>
      </w:pPr>
      <w:r>
        <w:rPr>
          <w:rFonts w:ascii="Aptos" w:hAnsi="Aptos"/>
        </w:rPr>
        <w:t>Reconcile joiners, movers and leavers against approved HR records.</w:t>
      </w:r>
    </w:p>
    <w:p>
      <w:pPr>
        <w:pStyle w:val="ListBullet"/>
      </w:pPr>
      <w:r>
        <w:rPr>
          <w:rFonts w:ascii="Aptos" w:hAnsi="Aptos"/>
        </w:rPr>
        <w:t>Test that a sample user can see required pages and cannot see restricted pages.</w:t>
      </w:r>
    </w:p>
    <w:p>
      <w:pPr>
        <w:pStyle w:val="ListBullet"/>
      </w:pPr>
      <w:r>
        <w:rPr>
          <w:rFonts w:ascii="Aptos" w:hAnsi="Aptos"/>
        </w:rPr>
        <w:t>Retain the access request, approval and implementation evidence.</w:t>
      </w:r>
    </w:p>
    <w:p>
      <w:r>
        <w:br w:type="page"/>
      </w:r>
    </w:p>
    <w:p>
      <w:pPr>
        <w:pStyle w:val="Heading1"/>
      </w:pPr>
      <w:r>
        <w:t>13. Troubleshooting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6725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Safe response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 list remains empty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Check filters and page number. Confirm you have permission and that the record exists in the selected branch/period.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A save fails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Read the alert, preserve entered details, correct validation errors and retry once.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 request times out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Do not immediately repeat a financial action. Search the register/journal first.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Wrong record was selected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Cancel before submission. If already submitted, stop and follow the approved correction/reversal process.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Unexpected status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Refresh/reopen the record and check workflow history. Escalate with the reference and timestamp.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Permission or navigation issue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Capture the page name and required duty; ask the role administrator to review access.</w:t>
            </w:r>
          </w:p>
        </w:tc>
      </w:tr>
      <w:tr>
        <w:tc>
          <w:tcPr>
            <w:tcW w:type="dxa" w:w="29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Persistent system error</w:t>
            </w:r>
          </w:p>
        </w:tc>
        <w:tc>
          <w:tcPr>
            <w:tcW w:type="dxa" w:w="672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Record the user, time, page, action, reference and exact message; provide a screenshot without exposing passwords.</w:t>
            </w:r>
          </w:p>
        </w:tc>
      </w:tr>
    </w:tbl>
    <w:p>
      <w:pPr>
        <w:spacing w:after="20"/>
      </w:pPr>
    </w:p>
    <w:p>
      <w:pPr>
        <w:pStyle w:val="Heading2"/>
      </w:pPr>
      <w:r>
        <w:t>Support ticket minimum information</w:t>
      </w:r>
    </w:p>
    <w:p>
      <w:pPr>
        <w:pStyle w:val="ListBullet"/>
      </w:pPr>
      <w:r>
        <w:rPr>
          <w:rFonts w:ascii="Aptos" w:hAnsi="Aptos"/>
        </w:rPr>
        <w:t>Your name, username and branch - never your password.</w:t>
      </w:r>
    </w:p>
    <w:p>
      <w:pPr>
        <w:pStyle w:val="ListBullet"/>
      </w:pPr>
      <w:r>
        <w:rPr>
          <w:rFonts w:ascii="Aptos" w:hAnsi="Aptos"/>
        </w:rPr>
        <w:t>Date/time and application page.</w:t>
      </w:r>
    </w:p>
    <w:p>
      <w:pPr>
        <w:pStyle w:val="ListBullet"/>
      </w:pPr>
      <w:r>
        <w:rPr>
          <w:rFonts w:ascii="Aptos" w:hAnsi="Aptos"/>
        </w:rPr>
        <w:t>What you were trying to do and the steps immediately before the error.</w:t>
      </w:r>
    </w:p>
    <w:p>
      <w:pPr>
        <w:pStyle w:val="ListBullet"/>
      </w:pPr>
      <w:r>
        <w:rPr>
          <w:rFonts w:ascii="Aptos" w:hAnsi="Aptos"/>
        </w:rPr>
        <w:t>Customer/account/transaction reference, masked where appropriate.</w:t>
      </w:r>
    </w:p>
    <w:p>
      <w:pPr>
        <w:pStyle w:val="ListBullet"/>
      </w:pPr>
      <w:r>
        <w:rPr>
          <w:rFonts w:ascii="Aptos" w:hAnsi="Aptos"/>
        </w:rPr>
        <w:t>Exact error message and a safe screenshot.</w:t>
      </w:r>
    </w:p>
    <w:p>
      <w:pPr>
        <w:pStyle w:val="ListBullet"/>
      </w:pPr>
      <w:r>
        <w:rPr>
          <w:rFonts w:ascii="Aptos" w:hAnsi="Aptos"/>
        </w:rPr>
        <w:t>Whether the action appears in the relevant register or journal.</w:t>
      </w:r>
    </w:p>
    <w:p>
      <w:r>
        <w:br w:type="page"/>
      </w:r>
    </w:p>
    <w:p>
      <w:pPr>
        <w:pStyle w:val="Heading1"/>
      </w:pPr>
      <w:r>
        <w:t>14. Daily operating checklists</w:t>
      </w:r>
    </w:p>
    <w:p>
      <w:pPr>
        <w:pStyle w:val="Heading2"/>
      </w:pPr>
      <w:r>
        <w:t>Start of day</w:t>
      </w:r>
    </w:p>
    <w:p>
      <w:pPr>
        <w:pStyle w:val="ListBullet"/>
      </w:pPr>
      <w:r>
        <w:rPr>
          <w:rFonts w:ascii="Aptos" w:hAnsi="Aptos"/>
        </w:rPr>
        <w:t>Sign in with your own account and confirm the correct permissions.</w:t>
      </w:r>
    </w:p>
    <w:p>
      <w:pPr>
        <w:pStyle w:val="ListBullet"/>
      </w:pPr>
      <w:r>
        <w:rPr>
          <w:rFonts w:ascii="Aptos" w:hAnsi="Aptos"/>
        </w:rPr>
        <w:t>Confirm branch, operational date, posting period and teller/treasury assignment.</w:t>
      </w:r>
    </w:p>
    <w:p>
      <w:pPr>
        <w:pStyle w:val="ListBullet"/>
      </w:pPr>
      <w:r>
        <w:rPr>
          <w:rFonts w:ascii="Aptos" w:hAnsi="Aptos"/>
        </w:rPr>
        <w:t>Check opening cash or control balances according to local procedure.</w:t>
      </w:r>
    </w:p>
    <w:p>
      <w:pPr>
        <w:pStyle w:val="ListBullet"/>
      </w:pPr>
      <w:r>
        <w:rPr>
          <w:rFonts w:ascii="Aptos" w:hAnsi="Aptos"/>
        </w:rPr>
        <w:t>Review pending approvals, failed batches and unresolved exceptions.</w:t>
      </w:r>
    </w:p>
    <w:p>
      <w:pPr>
        <w:pStyle w:val="Heading2"/>
      </w:pPr>
      <w:r>
        <w:t>Before every financial submission</w:t>
      </w:r>
    </w:p>
    <w:p>
      <w:pPr>
        <w:pStyle w:val="ListBullet"/>
      </w:pPr>
      <w:r>
        <w:rPr>
          <w:rFonts w:ascii="Aptos" w:hAnsi="Aptos"/>
        </w:rPr>
        <w:t>Correct customer and account.</w:t>
      </w:r>
    </w:p>
    <w:p>
      <w:pPr>
        <w:pStyle w:val="ListBullet"/>
      </w:pPr>
      <w:r>
        <w:rPr>
          <w:rFonts w:ascii="Aptos" w:hAnsi="Aptos"/>
        </w:rPr>
        <w:t>Correct transaction type and debit/credit direction.</w:t>
      </w:r>
    </w:p>
    <w:p>
      <w:pPr>
        <w:pStyle w:val="ListBullet"/>
      </w:pPr>
      <w:r>
        <w:rPr>
          <w:rFonts w:ascii="Aptos" w:hAnsi="Aptos"/>
        </w:rPr>
        <w:t>Correct amount, currency, date and instrument/reference.</w:t>
      </w:r>
    </w:p>
    <w:p>
      <w:pPr>
        <w:pStyle w:val="ListBullet"/>
      </w:pPr>
      <w:r>
        <w:rPr>
          <w:rFonts w:ascii="Aptos" w:hAnsi="Aptos"/>
        </w:rPr>
        <w:t>Required evidence and approval are present.</w:t>
      </w:r>
    </w:p>
    <w:p>
      <w:pPr>
        <w:pStyle w:val="ListBullet"/>
      </w:pPr>
      <w:r>
        <w:rPr>
          <w:rFonts w:ascii="Aptos" w:hAnsi="Aptos"/>
        </w:rPr>
        <w:t>No duplicate transaction or batch exists.</w:t>
      </w:r>
    </w:p>
    <w:p>
      <w:pPr>
        <w:pStyle w:val="Heading2"/>
      </w:pPr>
      <w:r>
        <w:t>End of day</w:t>
      </w:r>
    </w:p>
    <w:p>
      <w:pPr>
        <w:pStyle w:val="ListBullet"/>
      </w:pPr>
      <w:r>
        <w:rPr>
          <w:rFonts w:ascii="Aptos" w:hAnsi="Aptos"/>
        </w:rPr>
        <w:t>Complete pending items or formally hand them over.</w:t>
      </w:r>
    </w:p>
    <w:p>
      <w:pPr>
        <w:pStyle w:val="ListBullet"/>
      </w:pPr>
      <w:r>
        <w:rPr>
          <w:rFonts w:ascii="Aptos" w:hAnsi="Aptos"/>
        </w:rPr>
        <w:t>Reconcile cash, transaction totals, batch totals and exceptions.</w:t>
      </w:r>
    </w:p>
    <w:p>
      <w:pPr>
        <w:pStyle w:val="ListBullet"/>
      </w:pPr>
      <w:r>
        <w:rPr>
          <w:rFonts w:ascii="Aptos" w:hAnsi="Aptos"/>
        </w:rPr>
        <w:t>Confirm all required authorisations or rejections have been recorded.</w:t>
      </w:r>
    </w:p>
    <w:p>
      <w:pPr>
        <w:pStyle w:val="ListBullet"/>
      </w:pPr>
      <w:r>
        <w:rPr>
          <w:rFonts w:ascii="Aptos" w:hAnsi="Aptos"/>
        </w:rPr>
        <w:t>Run and retain approved end-of-day reports.</w:t>
      </w:r>
    </w:p>
    <w:p>
      <w:pPr>
        <w:pStyle w:val="ListBullet"/>
      </w:pPr>
      <w:r>
        <w:rPr>
          <w:rFonts w:ascii="Aptos" w:hAnsi="Aptos"/>
        </w:rPr>
        <w:t>Use the Front Office End-of-Day function only when operational prerequisites are complete.</w:t>
      </w:r>
    </w:p>
    <w:p>
      <w:pPr>
        <w:pStyle w:val="ListBullet"/>
      </w:pPr>
      <w:r>
        <w:rPr>
          <w:rFonts w:ascii="Aptos" w:hAnsi="Aptos"/>
        </w:rPr>
        <w:t>Sign out and secure printed/exported information.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EEF2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312E81"/>
                <w:sz w:val="18"/>
              </w:rPr>
              <w:t>LOCAL PROCEDURES PREVAIL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This guide explains application use. Your organisation's finance, cash, credit, privacy, approval and records-management policies remain mandatory.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15. Support and handover details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Contact</w:t>
            </w:r>
          </w:p>
        </w:tc>
        <w:tc>
          <w:tcPr>
            <w:tcW w:type="dxa" w:w="679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Business system owner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[Name / role / email / telephone]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First-line support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[Help desk / email / telephone / service hours]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Technical escalation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[Supplier / developer contact and escalation route]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Security incident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[Security contact and urgent reporting method]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Production URL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[URL]</w:t>
            </w:r>
          </w:p>
        </w:tc>
      </w:tr>
      <w:t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Training environment</w:t>
            </w:r>
          </w:p>
        </w:tc>
        <w:tc>
          <w:tcPr>
            <w:tcW w:type="dxa" w:w="679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[URL, if available]</w:t>
            </w:r>
          </w:p>
        </w:tc>
      </w:tr>
    </w:tbl>
    <w:p>
      <w:pPr>
        <w:spacing w:after="20"/>
      </w:pPr>
    </w:p>
    <w:p>
      <w:pPr>
        <w:pStyle w:val="Heading2"/>
      </w:pPr>
      <w:r>
        <w:t>Client acceptance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52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2592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2520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045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Client system owner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  <w:t>Operations representative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  <w:shd w:fill="F9FAFB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</w:tr>
      <w:tr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Administrator</w:t>
            </w:r>
          </w:p>
        </w:tc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  <w:tc>
          <w:tcPr>
            <w:tcW w:type="dxa" w:w="2045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152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944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4824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Summary</w:t>
            </w:r>
          </w:p>
        </w:tc>
        <w:tc>
          <w:tcPr>
            <w:tcW w:type="dxa" w:w="1757"/>
            <w:shd w:fill="312E8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1.0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September 2026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Initial client user guide based on the delivered application build.</w:t>
            </w:r>
          </w:p>
        </w:tc>
        <w:tc>
          <w:tcPr>
            <w:tcW w:type="dxa" w:w="1757"/>
            <w:tcMar>
              <w:top w:w="80" w:type="dxa"/>
              <w:start w:w="120" w:type="dxa"/>
              <w:bottom w:w="80" w:type="dxa"/>
              <w:end w:w="120" w:type="dxa"/>
            </w:tcMar>
            <w:vAlign w:val="top"/>
          </w:tcPr>
          <w:p>
            <w:r>
              <w:rPr>
                <w:rFonts w:ascii="Aptos" w:hAnsi="Aptos"/>
                <w:color w:val="1F2937"/>
                <w:sz w:val="18"/>
              </w:rPr>
              <w:t>[Owner]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77"/>
      </w:tblGrid>
      <w:tr>
        <w:tc>
          <w:tcPr>
            <w:tcW w:type="dxa" w:w="9936"/>
            <w:shd w:fill="FEF3C7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pPr>
              <w:spacing w:after="40"/>
            </w:pPr>
            <w:r>
              <w:rPr>
                <w:rFonts w:ascii="Aptos" w:hAnsi="Aptos"/>
                <w:b/>
                <w:color w:val="92400E"/>
                <w:sz w:val="18"/>
              </w:rPr>
              <w:t>BEFORE ISSUE</w:t>
            </w:r>
          </w:p>
          <w:p>
            <w:pPr>
              <w:spacing w:after="0"/>
            </w:pPr>
            <w:r>
              <w:rPr>
                <w:rFonts w:ascii="Aptos" w:hAnsi="Aptos"/>
                <w:color w:val="1F2937"/>
                <w:sz w:val="20"/>
              </w:rPr>
              <w:t>Replace all square-bracket placeholders, confirm enabled modules and have each process owner approve the relevant workflow section.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6B7280"/>
        <w:sz w:val="16"/>
      </w:rPr>
      <w:t>Client copy  |  Version 1.0  |  September 2026</w:t>
    </w:r>
    <w:r>
      <w:fldSimple w:instr="PAG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ptos" w:hAnsi="Aptos"/>
        <w:b/>
        <w:color w:val="6B7280"/>
        <w:sz w:val="16"/>
      </w:rPr>
      <w:t>SWIFT FINANCIAL  |  CLIENT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12E8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730A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FFFFFF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76" w:lineRule="auto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Swift Financial Client User Guide</dc:title>
  <dc:subject>Client-facing user manual</dc:subject>
  <dc:creator>Swift Financial</dc:creator>
  <cp:keywords/>
  <dc:description>Generated for client handover; replace bracketed placeholders before issue.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