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p>
      <w:pPr>
        <w:spacing w:after="0"/>
        <w:jc w:val="center"/>
      </w:pPr>
      <w:r>
        <w:t/>
      </w:r>
      <w:r>
        <w:t xml:space="preserve">Summary Statistics</w:t>
      </w:r>
    </w:p>
    <w:tbl>
      <w:tblPr>
        <w:tblStyle w:val="TableGrid"/>
        <w:jc w:val="center"/>
        <w:tblBorders>
          <w:top w:val="single" w:color="000000" w:shadow="false"/>
          <w:left w:val="nil" w:color="000000" w:shadow="false"/>
          <w:bottom w:val="single" w:color="000000" w:shadow="false"/>
          <w:right w:val="nil" w:color="000000" w:shadow="false"/>
          <w:insideH w:val="nil" w:color="000000" w:shadow="false"/>
          <w:insideV w:val="nil" w:color="000000" w:shadow="false"/>
        </w:tblBorders>
        <w:tblLayout w:type="autofit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w="1289" w:type="dxa"/>
            <w:tcBorders>
              <w:bottom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t xml:space="preserve">VarName</w:t>
            </w:r>
          </w:p>
        </w:tc>
        <w:tc>
          <w:tcPr>
            <w:tcW w:w="1289" w:type="dxa"/>
            <w:tcBorders>
              <w:bottom w:val="single" w:color="000000"/>
            </w:tcBorders>
            <w:vAlign w:val="center"/>
          </w:tcPr>
          <w:p>
            <w:pPr>
              <w:spacing w:after="0"/>
              <w:jc w:val="right"/>
            </w:pPr>
            <w:r>
              <w:t xml:space="preserve">Obs</w:t>
            </w:r>
          </w:p>
        </w:tc>
        <w:tc>
          <w:tcPr>
            <w:tcW w:w="1289" w:type="dxa"/>
            <w:tcBorders>
              <w:bottom w:val="single" w:color="000000"/>
            </w:tcBorders>
            <w:vAlign w:val="center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1289" w:type="dxa"/>
            <w:tcBorders>
              <w:bottom w:val="single" w:color="000000"/>
            </w:tcBorders>
            <w:vAlign w:val="center"/>
          </w:tcPr>
          <w:p>
            <w:pPr>
              <w:spacing w:after="0"/>
              <w:jc w:val="right"/>
            </w:pPr>
            <w:r>
              <w:t xml:space="preserve">SD</w:t>
            </w:r>
          </w:p>
        </w:tc>
        <w:tc>
          <w:tcPr>
            <w:tcW w:w="1289" w:type="dxa"/>
            <w:tcBorders>
              <w:bottom w:val="single" w:color="000000"/>
            </w:tcBorders>
            <w:vAlign w:val="center"/>
          </w:tcPr>
          <w:p>
            <w:pPr>
              <w:spacing w:after="0"/>
              <w:jc w:val="right"/>
            </w:pPr>
            <w:r>
              <w:t xml:space="preserve">Min</w:t>
            </w:r>
          </w:p>
        </w:tc>
        <w:tc>
          <w:tcPr>
            <w:tcW w:w="1289" w:type="dxa"/>
            <w:tcBorders>
              <w:bottom w:val="single" w:color="000000"/>
            </w:tcBorders>
            <w:vAlign w:val="center"/>
          </w:tcPr>
          <w:p>
            <w:pPr>
              <w:spacing w:after="0"/>
              <w:jc w:val="right"/>
            </w:pPr>
            <w:r>
              <w:t xml:space="preserve">Median</w:t>
            </w:r>
          </w:p>
        </w:tc>
        <w:tc>
          <w:tcPr>
            <w:tcW w:w="1289" w:type="dxa"/>
            <w:tcBorders>
              <w:bottom w:val="single" w:color="000000"/>
            </w:tcBorders>
            <w:vAlign w:val="center"/>
          </w:tcPr>
          <w:p>
            <w:pPr>
              <w:spacing w:after="0"/>
              <w:jc w:val="right"/>
            </w:pPr>
            <w:r>
              <w:t xml:space="preserve">Max</w:t>
            </w:r>
          </w:p>
        </w:tc>
      </w:tr>
      <w:tr>
        <w:tc>
          <w:tcPr>
            <w:tcW w:w="1289" w:type="dxa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t xml:space="preserve">Expenditure-side real GDP at chained PPPs (in mil. 2021US$)</w:t>
            </w:r>
          </w:p>
        </w:tc>
        <w:tc>
          <w:tcPr>
            <w:tcW w:w="1289" w:type="dxa"/>
            <w:tcBorders>
              <w:top w:val="single" w:color="000000"/>
            </w:tcBorders>
            <w:vAlign w:val="center"/>
          </w:tcPr>
          <w:p>
            <w:pPr>
              <w:spacing w:after="0"/>
              <w:jc w:val="right"/>
            </w:pPr>
            <w:r>
              <w:t xml:space="preserve">1132</w:t>
            </w:r>
          </w:p>
        </w:tc>
        <w:tc>
          <w:tcPr>
            <w:tcW w:w="1289" w:type="dxa"/>
            <w:tcBorders>
              <w:top w:val="single" w:color="000000"/>
            </w:tcBorders>
            <w:vAlign w:val="center"/>
          </w:tcPr>
          <w:p>
            <w:pPr>
              <w:spacing w:after="0"/>
              <w:jc w:val="right"/>
            </w:pPr>
            <w:r>
              <w:t xml:space="preserve">376455.08</w:t>
            </w:r>
          </w:p>
        </w:tc>
        <w:tc>
          <w:tcPr>
            <w:tcW w:w="1289" w:type="dxa"/>
            <w:tcBorders>
              <w:top w:val="single" w:color="000000"/>
            </w:tcBorders>
            <w:vAlign w:val="center"/>
          </w:tcPr>
          <w:p>
            <w:pPr>
              <w:spacing w:after="0"/>
              <w:jc w:val="right"/>
            </w:pPr>
            <w:r>
              <w:t xml:space="preserve">1.35e+06</w:t>
            </w:r>
          </w:p>
        </w:tc>
        <w:tc>
          <w:tcPr>
            <w:tcW w:w="1289" w:type="dxa"/>
            <w:tcBorders>
              <w:top w:val="single" w:color="000000"/>
            </w:tcBorders>
            <w:vAlign w:val="center"/>
          </w:tcPr>
          <w:p>
            <w:pPr>
              <w:spacing w:after="0"/>
              <w:jc w:val="right"/>
            </w:pPr>
            <w:r>
              <w:t xml:space="preserve">231.7716</w:t>
            </w:r>
          </w:p>
        </w:tc>
        <w:tc>
          <w:tcPr>
            <w:tcW w:w="1289" w:type="dxa"/>
            <w:tcBorders>
              <w:top w:val="single" w:color="000000"/>
            </w:tcBorders>
            <w:vAlign w:val="center"/>
          </w:tcPr>
          <w:p>
            <w:pPr>
              <w:spacing w:after="0"/>
              <w:jc w:val="right"/>
            </w:pPr>
            <w:r>
              <w:t xml:space="preserve">36899.17</w:t>
            </w:r>
          </w:p>
        </w:tc>
        <w:tc>
          <w:tcPr>
            <w:tcW w:w="1289" w:type="dxa"/>
            <w:tcBorders>
              <w:top w:val="single" w:color="000000"/>
            </w:tcBorders>
            <w:vAlign w:val="center"/>
          </w:tcPr>
          <w:p>
            <w:pPr>
              <w:spacing w:after="0"/>
              <w:jc w:val="right"/>
            </w:pPr>
            <w:r>
              <w:t xml:space="preserve">1.84e+07</w:t>
            </w:r>
          </w:p>
        </w:tc>
      </w:tr>
      <w:tr>
        <w:tc>
          <w:tcPr>
            <w:tcW w:w="1289" w:type="dxa"/>
            <w:vAlign w:val="center"/>
          </w:tcPr>
          <w:p>
            <w:pPr>
              <w:spacing w:after="0"/>
              <w:jc w:val="left"/>
            </w:pPr>
            <w:r>
              <w:t xml:space="preserve">Share of Gross Capital Formation at current PPPs (Savings)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1132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0.21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0.099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.0022106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.2028805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.7961956</w:t>
            </w:r>
          </w:p>
        </w:tc>
      </w:tr>
      <w:tr>
        <w:tc>
          <w:tcPr>
            <w:tcW w:w="1289" w:type="dxa"/>
            <w:vAlign w:val="center"/>
          </w:tcPr>
          <w:p>
            <w:pPr>
              <w:spacing w:after="0"/>
              <w:jc w:val="left"/>
            </w:pPr>
            <w:r>
              <w:t xml:space="preserve">Human capital index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950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2.20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0.700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1.01472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2.155726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3.695954</w:t>
            </w:r>
          </w:p>
        </w:tc>
      </w:tr>
      <w:tr>
        <w:tc>
          <w:tcPr>
            <w:tcW w:w="1289" w:type="dxa"/>
            <w:vAlign w:val="center"/>
          </w:tcPr>
          <w:p>
            <w:pPr>
              <w:spacing w:after="0"/>
              <w:jc w:val="left"/>
            </w:pPr>
            <w:r>
              <w:t xml:space="preserve">(mean) pop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1132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33.94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124.856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.040665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7.121617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1351.535</w:t>
            </w:r>
          </w:p>
        </w:tc>
      </w:tr>
      <w:tr>
        <w:tc>
          <w:tcPr>
            <w:tcW w:w="1289" w:type="dxa"/>
            <w:vAlign w:val="center"/>
          </w:tcPr>
          <w:p>
            <w:pPr>
              <w:spacing w:after="0"/>
              <w:jc w:val="left"/>
            </w:pPr>
            <w:r>
              <w:t xml:space="preserve">Emigration rate, combined (% of population)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1176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5.94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9.188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.0111355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2.286571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51.93692</w:t>
            </w:r>
          </w:p>
        </w:tc>
      </w:tr>
      <w:tr>
        <w:tc>
          <w:tcPr>
            <w:tcW w:w="1289" w:type="dxa"/>
            <w:vAlign w:val="center"/>
          </w:tcPr>
          <w:p>
            <w:pPr>
              <w:spacing w:after="0"/>
              <w:jc w:val="left"/>
            </w:pPr>
            <w:r>
              <w:t xml:space="preserve">Emigration rate, male (% of population)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1176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5.90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8.859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.0137136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2.288245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46.34145</w:t>
            </w:r>
          </w:p>
        </w:tc>
      </w:tr>
      <w:tr>
        <w:tc>
          <w:tcPr>
            <w:tcW w:w="1289" w:type="dxa"/>
            <w:vAlign w:val="center"/>
          </w:tcPr>
          <w:p>
            <w:pPr>
              <w:spacing w:after="0"/>
              <w:jc w:val="left"/>
            </w:pPr>
            <w:r>
              <w:t xml:space="preserve">Emigration rate, female (% of population)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1176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5.94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9.589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.005222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2.226416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57.20477</w:t>
            </w:r>
          </w:p>
        </w:tc>
      </w:tr>
    </w:tbl>
    <w:p>
      <w:r>
        <w:t/>
      </w:r>
    </w:p>
    <w:sectPr>
      <w:pgSz w:w="11907" w:h="16839" w:code="9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  <w:rPr>
      <w:rFonts w:ascii="Times New Roman" w:hAnsi="Times New Roman" w:eastAsia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