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p>
      <w:pPr>
        <w:spacing w:after="0"/>
        <w:jc w:val="center"/>
      </w:pPr>
      <w:r>
        <w:t/>
      </w:r>
      <w:r>
        <w:t xml:space="preserve">Summary Statistics</w:t>
      </w:r>
    </w:p>
    <w:tbl>
      <w:tblPr>
        <w:tblStyle w:val="TableGrid"/>
        <w:jc w:val="center"/>
        <w:tblBorders>
          <w:top w:val="single" w:color="000000" w:shadow="false"/>
          <w:left w:val="nil" w:color="000000" w:shadow="false"/>
          <w:bottom w:val="single" w:color="000000" w:shadow="false"/>
          <w:right w:val="nil" w:color="000000" w:shadow="false"/>
          <w:insideH w:val="nil" w:color="000000" w:shadow="false"/>
          <w:insideV w:val="nil" w:color="000000" w:shadow="false"/>
        </w:tblBorders>
        <w:tblLayout w:type="autofit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w="1289" w:type="dxa"/>
            <w:tcBorders>
              <w:bottom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t xml:space="preserve">VarName</w:t>
            </w:r>
          </w:p>
        </w:tc>
        <w:tc>
          <w:tcPr>
            <w:tcW w:w="1289" w:type="dxa"/>
            <w:tcBorders>
              <w:bottom w:val="single" w:color="000000"/>
            </w:tcBorders>
            <w:vAlign w:val="center"/>
          </w:tcPr>
          <w:p>
            <w:pPr>
              <w:spacing w:after="0"/>
              <w:jc w:val="right"/>
            </w:pPr>
            <w:r>
              <w:t xml:space="preserve">Obs</w:t>
            </w:r>
          </w:p>
        </w:tc>
        <w:tc>
          <w:tcPr>
            <w:tcW w:w="1289" w:type="dxa"/>
            <w:tcBorders>
              <w:bottom w:val="single" w:color="000000"/>
            </w:tcBorders>
            <w:vAlign w:val="center"/>
          </w:tcPr>
          <w:p>
            <w:pPr>
              <w:spacing w:after="0"/>
              <w:jc w:val="right"/>
            </w:pPr>
            <w:r>
              <w:t xml:space="preserve">Mean</w:t>
            </w:r>
          </w:p>
        </w:tc>
        <w:tc>
          <w:tcPr>
            <w:tcW w:w="1289" w:type="dxa"/>
            <w:tcBorders>
              <w:bottom w:val="single" w:color="000000"/>
            </w:tcBorders>
            <w:vAlign w:val="center"/>
          </w:tcPr>
          <w:p>
            <w:pPr>
              <w:spacing w:after="0"/>
              <w:jc w:val="right"/>
            </w:pPr>
            <w:r>
              <w:t xml:space="preserve">SD</w:t>
            </w:r>
          </w:p>
        </w:tc>
        <w:tc>
          <w:tcPr>
            <w:tcW w:w="1289" w:type="dxa"/>
            <w:tcBorders>
              <w:bottom w:val="single" w:color="000000"/>
            </w:tcBorders>
            <w:vAlign w:val="center"/>
          </w:tcPr>
          <w:p>
            <w:pPr>
              <w:spacing w:after="0"/>
              <w:jc w:val="right"/>
            </w:pPr>
            <w:r>
              <w:t xml:space="preserve">Min</w:t>
            </w:r>
          </w:p>
        </w:tc>
        <w:tc>
          <w:tcPr>
            <w:tcW w:w="1289" w:type="dxa"/>
            <w:tcBorders>
              <w:bottom w:val="single" w:color="000000"/>
            </w:tcBorders>
            <w:vAlign w:val="center"/>
          </w:tcPr>
          <w:p>
            <w:pPr>
              <w:spacing w:after="0"/>
              <w:jc w:val="right"/>
            </w:pPr>
            <w:r>
              <w:t xml:space="preserve">Median</w:t>
            </w:r>
          </w:p>
        </w:tc>
        <w:tc>
          <w:tcPr>
            <w:tcW w:w="1289" w:type="dxa"/>
            <w:tcBorders>
              <w:bottom w:val="single" w:color="000000"/>
            </w:tcBorders>
            <w:vAlign w:val="center"/>
          </w:tcPr>
          <w:p>
            <w:pPr>
              <w:spacing w:after="0"/>
              <w:jc w:val="right"/>
            </w:pPr>
            <w:r>
              <w:t xml:space="preserve">Max</w:t>
            </w:r>
          </w:p>
        </w:tc>
      </w:tr>
      <w:tr>
        <w:tc>
          <w:tcPr>
            <w:tcW w:w="1289" w:type="dxa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t xml:space="preserve">Expenditure-side real GDP at chained PPPs (in mil. 2021US$)</w:t>
            </w:r>
          </w:p>
        </w:tc>
        <w:tc>
          <w:tcPr>
            <w:tcW w:w="1289" w:type="dxa"/>
            <w:tcBorders>
              <w:top w:val="single" w:color="000000"/>
            </w:tcBorders>
            <w:vAlign w:val="center"/>
          </w:tcPr>
          <w:p>
            <w:pPr>
              <w:spacing w:after="0"/>
              <w:jc w:val="right"/>
            </w:pPr>
            <w:r>
              <w:t xml:space="preserve">168</w:t>
            </w:r>
          </w:p>
        </w:tc>
        <w:tc>
          <w:tcPr>
            <w:tcW w:w="1289" w:type="dxa"/>
            <w:tcBorders>
              <w:top w:val="single" w:color="000000"/>
            </w:tcBorders>
            <w:vAlign w:val="center"/>
          </w:tcPr>
          <w:p>
            <w:pPr>
              <w:spacing w:after="0"/>
              <w:jc w:val="right"/>
            </w:pPr>
            <w:r>
              <w:t xml:space="preserve">403077.25</w:t>
            </w:r>
          </w:p>
        </w:tc>
        <w:tc>
          <w:tcPr>
            <w:tcW w:w="1289" w:type="dxa"/>
            <w:tcBorders>
              <w:top w:val="single" w:color="000000"/>
            </w:tcBorders>
            <w:vAlign w:val="center"/>
          </w:tcPr>
          <w:p>
            <w:pPr>
              <w:spacing w:after="0"/>
              <w:jc w:val="right"/>
            </w:pPr>
            <w:r>
              <w:t xml:space="preserve">1.40e+06</w:t>
            </w:r>
          </w:p>
        </w:tc>
        <w:tc>
          <w:tcPr>
            <w:tcW w:w="1289" w:type="dxa"/>
            <w:tcBorders>
              <w:top w:val="single" w:color="000000"/>
            </w:tcBorders>
            <w:vAlign w:val="center"/>
          </w:tcPr>
          <w:p>
            <w:pPr>
              <w:spacing w:after="0"/>
              <w:jc w:val="right"/>
            </w:pPr>
            <w:r>
              <w:t xml:space="preserve">294.4029</w:t>
            </w:r>
          </w:p>
        </w:tc>
        <w:tc>
          <w:tcPr>
            <w:tcW w:w="1289" w:type="dxa"/>
            <w:tcBorders>
              <w:top w:val="single" w:color="000000"/>
            </w:tcBorders>
            <w:vAlign w:val="center"/>
          </w:tcPr>
          <w:p>
            <w:pPr>
              <w:spacing w:after="0"/>
              <w:jc w:val="right"/>
            </w:pPr>
            <w:r>
              <w:t xml:space="preserve">35323.39</w:t>
            </w:r>
          </w:p>
        </w:tc>
        <w:tc>
          <w:tcPr>
            <w:tcW w:w="1289" w:type="dxa"/>
            <w:tcBorders>
              <w:top w:val="single" w:color="000000"/>
            </w:tcBorders>
            <w:vAlign w:val="center"/>
          </w:tcPr>
          <w:p>
            <w:pPr>
              <w:spacing w:after="0"/>
              <w:jc w:val="right"/>
            </w:pPr>
            <w:r>
              <w:t xml:space="preserve">1.53e+07</w:t>
            </w:r>
          </w:p>
        </w:tc>
      </w:tr>
      <w:tr>
        <w:tc>
          <w:tcPr>
            <w:tcW w:w="1289" w:type="dxa"/>
            <w:vAlign w:val="center"/>
          </w:tcPr>
          <w:p>
            <w:pPr>
              <w:spacing w:after="0"/>
              <w:jc w:val="left"/>
            </w:pPr>
            <w:r>
              <w:t xml:space="preserve">Share of Gross Capital Formation at current PPPs (Savings)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168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0.20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0.081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.0022106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.2011321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.5423727</w:t>
            </w:r>
          </w:p>
        </w:tc>
      </w:tr>
      <w:tr>
        <w:tc>
          <w:tcPr>
            <w:tcW w:w="1289" w:type="dxa"/>
            <w:vAlign w:val="center"/>
          </w:tcPr>
          <w:p>
            <w:pPr>
              <w:spacing w:after="0"/>
              <w:jc w:val="left"/>
            </w:pPr>
            <w:r>
              <w:t xml:space="preserve">Human capital index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140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2.32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0.682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1.072616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2.290601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3.577614</w:t>
            </w:r>
          </w:p>
        </w:tc>
      </w:tr>
      <w:tr>
        <w:tc>
          <w:tcPr>
            <w:tcW w:w="1289" w:type="dxa"/>
            <w:vAlign w:val="center"/>
          </w:tcPr>
          <w:p>
            <w:pPr>
              <w:spacing w:after="0"/>
              <w:jc w:val="left"/>
            </w:pPr>
            <w:r>
              <w:t xml:space="preserve">(mean) pop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168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35.68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130.946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.0451256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8.098812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1269.239</w:t>
            </w:r>
          </w:p>
        </w:tc>
      </w:tr>
      <w:tr>
        <w:tc>
          <w:tcPr>
            <w:tcW w:w="1289" w:type="dxa"/>
            <w:vAlign w:val="center"/>
          </w:tcPr>
          <w:p>
            <w:pPr>
              <w:spacing w:after="0"/>
              <w:jc w:val="left"/>
            </w:pPr>
            <w:r>
              <w:t xml:space="preserve">Emigration rate, combined (% of population)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168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6.35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9.539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.0547129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2.81453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44.34886</w:t>
            </w:r>
          </w:p>
        </w:tc>
      </w:tr>
      <w:tr>
        <w:tc>
          <w:tcPr>
            <w:tcW w:w="1289" w:type="dxa"/>
            <w:vAlign w:val="center"/>
          </w:tcPr>
          <w:p>
            <w:pPr>
              <w:spacing w:after="0"/>
              <w:jc w:val="left"/>
            </w:pPr>
            <w:r>
              <w:t xml:space="preserve">Emigration rate, male (% of population)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168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6.31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9.140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.0555286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2.915869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40.54179</w:t>
            </w:r>
          </w:p>
        </w:tc>
      </w:tr>
      <w:tr>
        <w:tc>
          <w:tcPr>
            <w:tcW w:w="1289" w:type="dxa"/>
            <w:vAlign w:val="center"/>
          </w:tcPr>
          <w:p>
            <w:pPr>
              <w:spacing w:after="0"/>
              <w:jc w:val="left"/>
            </w:pPr>
            <w:r>
              <w:t xml:space="preserve">Emigration rate, female (% of population)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168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6.37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9.952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.0334502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2.713017</w:t>
            </w:r>
          </w:p>
        </w:tc>
        <w:tc>
          <w:tcPr>
            <w:tcW w:w="1289" w:type="dxa"/>
            <w:vAlign w:val="center"/>
          </w:tcPr>
          <w:p>
            <w:pPr>
              <w:spacing w:after="0"/>
              <w:jc w:val="right"/>
            </w:pPr>
            <w:r>
              <w:t xml:space="preserve">47.45388</w:t>
            </w:r>
          </w:p>
        </w:tc>
      </w:tr>
    </w:tbl>
    <w:p>
      <w:r>
        <w:t/>
      </w:r>
    </w:p>
    <w:sectPr>
      <w:pgSz w:w="11907" w:h="16839" w:code="9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  <w:rPr>
      <w:rFonts w:ascii="Times New Roman" w:hAnsi="Times New Roman" w:eastAsia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