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spacing w:after="0"/>
        <w:jc w:val="center"/>
      </w:pPr>
      <w:r>
        <w:t/>
      </w:r>
      <w:r>
        <w:t xml:space="preserve">Summary Statistics</w:t>
      </w:r>
    </w:p>
    <w:tbl>
      <w:tblPr>
        <w:tblStyle w:val="TableGrid"/>
        <w:jc w:val="center"/>
        <w:tblBorders>
          <w:top w:val="single" w:color="000000" w:shadow="false"/>
          <w:left w:val="nil" w:color="000000" w:shadow="false"/>
          <w:bottom w:val="single" w:color="000000" w:shadow="false"/>
          <w:right w:val="nil" w:color="000000" w:shadow="false"/>
          <w:insideH w:val="nil" w:color="000000" w:shadow="false"/>
          <w:insideV w:val="nil" w:color="000000" w:shadow="false"/>
        </w:tblBorders>
        <w:tblLayout w:type="autofit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w="1289" w:type="dxa"/>
            <w:tcBorders>
              <w:bottom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t xml:space="preserve">VarName</w:t>
            </w:r>
          </w:p>
        </w:tc>
        <w:tc>
          <w:tcPr>
            <w:tcW w:w="1289" w:type="dxa"/>
            <w:tcBorders>
              <w:bottom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Obs</w:t>
            </w:r>
          </w:p>
        </w:tc>
        <w:tc>
          <w:tcPr>
            <w:tcW w:w="1289" w:type="dxa"/>
            <w:tcBorders>
              <w:bottom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Mean</w:t>
            </w:r>
          </w:p>
        </w:tc>
        <w:tc>
          <w:tcPr>
            <w:tcW w:w="1289" w:type="dxa"/>
            <w:tcBorders>
              <w:bottom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SD</w:t>
            </w:r>
          </w:p>
        </w:tc>
        <w:tc>
          <w:tcPr>
            <w:tcW w:w="1289" w:type="dxa"/>
            <w:tcBorders>
              <w:bottom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Min</w:t>
            </w:r>
          </w:p>
        </w:tc>
        <w:tc>
          <w:tcPr>
            <w:tcW w:w="1289" w:type="dxa"/>
            <w:tcBorders>
              <w:bottom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Median</w:t>
            </w:r>
          </w:p>
        </w:tc>
        <w:tc>
          <w:tcPr>
            <w:tcW w:w="1289" w:type="dxa"/>
            <w:tcBorders>
              <w:bottom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Max</w:t>
            </w:r>
          </w:p>
        </w:tc>
      </w:tr>
      <w:tr>
        <w:tc>
          <w:tcPr>
            <w:tcW w:w="1289" w:type="dxa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t xml:space="preserve">Expenditure-side real GDP at chained PPPs (in mil. 2021US$)</w:t>
            </w:r>
          </w:p>
        </w:tc>
        <w:tc>
          <w:tcPr>
            <w:tcW w:w="1289" w:type="dxa"/>
            <w:tcBorders>
              <w:top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1132</w:t>
            </w:r>
          </w:p>
        </w:tc>
        <w:tc>
          <w:tcPr>
            <w:tcW w:w="1289" w:type="dxa"/>
            <w:tcBorders>
              <w:top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376455.08</w:t>
            </w:r>
          </w:p>
        </w:tc>
        <w:tc>
          <w:tcPr>
            <w:tcW w:w="1289" w:type="dxa"/>
            <w:tcBorders>
              <w:top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1.35e+06</w:t>
            </w:r>
          </w:p>
        </w:tc>
        <w:tc>
          <w:tcPr>
            <w:tcW w:w="1289" w:type="dxa"/>
            <w:tcBorders>
              <w:top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231.7716</w:t>
            </w:r>
          </w:p>
        </w:tc>
        <w:tc>
          <w:tcPr>
            <w:tcW w:w="1289" w:type="dxa"/>
            <w:tcBorders>
              <w:top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36899.17</w:t>
            </w:r>
          </w:p>
        </w:tc>
        <w:tc>
          <w:tcPr>
            <w:tcW w:w="1289" w:type="dxa"/>
            <w:tcBorders>
              <w:top w:val="single" w:color="000000"/>
            </w:tcBorders>
            <w:vAlign w:val="center"/>
          </w:tcPr>
          <w:p>
            <w:pPr>
              <w:spacing w:after="0"/>
              <w:jc w:val="right"/>
            </w:pPr>
            <w:r>
              <w:t xml:space="preserve">1.84e+07</w:t>
            </w:r>
          </w:p>
        </w:tc>
      </w:tr>
      <w:tr>
        <w:tc>
          <w:tcPr>
            <w:tcW w:w="1289" w:type="dxa"/>
            <w:vAlign w:val="center"/>
          </w:tcPr>
          <w:p>
            <w:pPr>
              <w:spacing w:after="0"/>
              <w:jc w:val="left"/>
            </w:pPr>
            <w:r>
              <w:t xml:space="preserve">Share of Gross Capital Formation at current PPPs (Savings)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1132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0.21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0.099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.0022106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.2028805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.7961956</w:t>
            </w:r>
          </w:p>
        </w:tc>
      </w:tr>
      <w:tr>
        <w:tc>
          <w:tcPr>
            <w:tcW w:w="1289" w:type="dxa"/>
            <w:vAlign w:val="center"/>
          </w:tcPr>
          <w:p>
            <w:pPr>
              <w:spacing w:after="0"/>
              <w:jc w:val="left"/>
            </w:pPr>
            <w:r>
              <w:t xml:space="preserve">Human capital index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950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2.20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0.700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1.01472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2.155726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3.695954</w:t>
            </w:r>
          </w:p>
        </w:tc>
      </w:tr>
      <w:tr>
        <w:tc>
          <w:tcPr>
            <w:tcW w:w="1289" w:type="dxa"/>
            <w:vAlign w:val="center"/>
          </w:tcPr>
          <w:p>
            <w:pPr>
              <w:spacing w:after="0"/>
              <w:jc w:val="left"/>
            </w:pPr>
            <w:r>
              <w:t xml:space="preserve">(mean) pop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1132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33.94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124.856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.040665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7.121617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1351.535</w:t>
            </w:r>
          </w:p>
        </w:tc>
      </w:tr>
      <w:tr>
        <w:tc>
          <w:tcPr>
            <w:tcW w:w="1289" w:type="dxa"/>
            <w:vAlign w:val="center"/>
          </w:tcPr>
          <w:p>
            <w:pPr>
              <w:spacing w:after="0"/>
              <w:jc w:val="left"/>
            </w:pPr>
            <w:r>
              <w:t xml:space="preserve">Emigration rate, combined (% of population)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1176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5.94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9.188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.0111355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2.286571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51.93692</w:t>
            </w:r>
          </w:p>
        </w:tc>
      </w:tr>
      <w:tr>
        <w:tc>
          <w:tcPr>
            <w:tcW w:w="1289" w:type="dxa"/>
            <w:vAlign w:val="center"/>
          </w:tcPr>
          <w:p>
            <w:pPr>
              <w:spacing w:after="0"/>
              <w:jc w:val="left"/>
            </w:pPr>
            <w:r>
              <w:t xml:space="preserve">Emigration rate, male (% of population)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1176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5.90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8.859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.0137136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2.288245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46.34145</w:t>
            </w:r>
          </w:p>
        </w:tc>
      </w:tr>
      <w:tr>
        <w:tc>
          <w:tcPr>
            <w:tcW w:w="1289" w:type="dxa"/>
            <w:vAlign w:val="center"/>
          </w:tcPr>
          <w:p>
            <w:pPr>
              <w:spacing w:after="0"/>
              <w:jc w:val="left"/>
            </w:pPr>
            <w:r>
              <w:t xml:space="preserve">Emigration rate, female (% of population)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1176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5.94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9.589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.005222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2.226416</w:t>
            </w:r>
          </w:p>
        </w:tc>
        <w:tc>
          <w:tcPr>
            <w:tcW w:w="1289" w:type="dxa"/>
            <w:vAlign w:val="center"/>
          </w:tcPr>
          <w:p>
            <w:pPr>
              <w:spacing w:after="0"/>
              <w:jc w:val="right"/>
            </w:pPr>
            <w:r>
              <w:t xml:space="preserve">57.20477</w:t>
            </w:r>
          </w:p>
        </w:tc>
      </w:tr>
    </w:tbl>
    <w:p>
      <w:r>
        <w:t/>
      </w:r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