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17" w:rsidRDefault="00B12317" w:rsidP="00B12317">
      <w:pPr>
        <w:pStyle w:val="Heading1"/>
      </w:pPr>
      <w:r>
        <w:t>Lab 4 Answer Sheet</w:t>
      </w:r>
    </w:p>
    <w:p w:rsidR="00B12317" w:rsidRPr="00AC3E58" w:rsidRDefault="00B12317" w:rsidP="00B123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(Submit only the answer </w:t>
      </w:r>
      <w:r w:rsidRPr="00AC3E58">
        <w:rPr>
          <w:rFonts w:ascii="Arial" w:hAnsi="Arial" w:cs="Arial"/>
          <w:sz w:val="20"/>
          <w:szCs w:val="20"/>
        </w:rPr>
        <w:t>sheet; do not submit the whole lab document)</w:t>
      </w:r>
    </w:p>
    <w:p w:rsidR="00B12317" w:rsidRDefault="00B12317" w:rsidP="00B12317">
      <w:pPr>
        <w:pStyle w:val="Heading1"/>
      </w:pPr>
      <w:r w:rsidRPr="000960FB">
        <w:t>Name</w:t>
      </w:r>
      <w:r>
        <w:t xml:space="preserve"> </w:t>
      </w:r>
      <w:r w:rsidRPr="00282F5E">
        <w:rPr>
          <w:i/>
          <w:sz w:val="24"/>
        </w:rPr>
        <w:t>(Please use your registered name)</w:t>
      </w:r>
      <w:r w:rsidRPr="000960FB">
        <w:t xml:space="preserve">: </w:t>
      </w:r>
    </w:p>
    <w:p w:rsidR="00B12317" w:rsidRPr="00AC3E58" w:rsidRDefault="00B12317" w:rsidP="00B123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an individual exercise.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12317" w:rsidTr="00665097">
        <w:tc>
          <w:tcPr>
            <w:tcW w:w="9216" w:type="dxa"/>
            <w:shd w:val="clear" w:color="auto" w:fill="auto"/>
          </w:tcPr>
          <w:p w:rsidR="00B12317" w:rsidRDefault="00B12317" w:rsidP="00665097">
            <w:r>
              <w:t>Lau Guo Xi</w:t>
            </w:r>
          </w:p>
          <w:p w:rsidR="00B12317" w:rsidRDefault="00B12317" w:rsidP="00665097"/>
        </w:tc>
      </w:tr>
    </w:tbl>
    <w:p w:rsidR="00B12317" w:rsidRDefault="00B12317" w:rsidP="00B1231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2317" w:rsidRPr="00E04F22" w:rsidRDefault="00B12317" w:rsidP="00B12317">
      <w:pPr>
        <w:pStyle w:val="Default"/>
      </w:pPr>
      <w:r w:rsidRPr="003574EF">
        <w:rPr>
          <w:rStyle w:val="Heading2Char"/>
        </w:rPr>
        <w:t xml:space="preserve">Part </w:t>
      </w:r>
      <w:r>
        <w:rPr>
          <w:rStyle w:val="Heading2Char"/>
        </w:rPr>
        <w:t>4.</w:t>
      </w:r>
      <w:r w:rsidRPr="003574EF">
        <w:rPr>
          <w:rStyle w:val="Heading2Char"/>
        </w:rPr>
        <w:t>1: Request-Reply</w:t>
      </w:r>
    </w:p>
    <w:p w:rsidR="00B12317" w:rsidRDefault="00B12317" w:rsidP="00B1231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4.1.a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ind w:left="72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What output do you observe in the 1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TIBCO Command prompt? (You may cut and paste the output)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Default="00B12317" w:rsidP="00B12317">
            <w:pPr>
              <w:tabs>
                <w:tab w:val="left" w:pos="180"/>
              </w:tabs>
              <w:jc w:val="both"/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</w:pPr>
          </w:p>
          <w:p w:rsidR="00B12317" w:rsidRDefault="00B12317" w:rsidP="00B1231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44B137CC" wp14:editId="1D6DA906">
                  <wp:extent cx="4434840" cy="16967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317" w:rsidRPr="00E97E09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</w:pPr>
          </w:p>
        </w:tc>
      </w:tr>
    </w:tbl>
    <w:p w:rsidR="00B12317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4.1.b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ind w:left="72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What output 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 you observe in the 2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TIBCO Command prompt? (You may cut and paste the output)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B12317" w:rsidP="00B1231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5BA41E30" wp14:editId="1D029EBA">
                  <wp:extent cx="4434840" cy="171069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7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317" w:rsidRPr="00E97E09" w:rsidRDefault="00B12317" w:rsidP="00B1231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B12317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B12317" w:rsidRDefault="00B12317" w:rsidP="00B12317">
      <w:pPr>
        <w:autoSpaceDE w:val="0"/>
        <w:autoSpaceDN w:val="0"/>
        <w:adjustRightInd w:val="0"/>
        <w:ind w:left="360" w:firstLine="36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4.1.c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From the output you observed in 1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and 2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TIBCO command prompt, what can you say about the Message ID and Correlation (Correl. ID) ID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of the reply message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>The Message ID of the received request becomes the Correlation ID of the reply for the consumer side.</w:t>
            </w:r>
          </w:p>
          <w:p w:rsidR="00B12317" w:rsidRPr="00E97E09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B12317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4.1.d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From the output you observed in 1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and 2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TIBCO command prompt, what is the name of reply queue used?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tabs>
                <w:tab w:val="left" w:pos="180"/>
              </w:tabs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reply.queue</w:t>
            </w:r>
          </w:p>
        </w:tc>
      </w:tr>
    </w:tbl>
    <w:p w:rsidR="00B12317" w:rsidRDefault="00B12317" w:rsidP="00B12317">
      <w:pPr>
        <w:autoSpaceDE w:val="0"/>
        <w:autoSpaceDN w:val="0"/>
        <w:adjustRightInd w:val="0"/>
        <w:rPr>
          <w:rFonts w:ascii="Arial" w:hAnsi="Arial" w:cs="Arial"/>
          <w:bCs/>
          <w:color w:val="0000FF"/>
          <w:sz w:val="20"/>
          <w:szCs w:val="20"/>
          <w:lang w:val="en-GB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4.1.e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How many queues are used effectively to support request-reply in this example that you have just observed?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</w:tr>
    </w:tbl>
    <w:p w:rsidR="00B12317" w:rsidRPr="00297C45" w:rsidRDefault="00B12317" w:rsidP="00B1231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</w:t>
            </w: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97E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What happen to the message producer when it sends a message to a subscriber that is not online?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tabs>
                <w:tab w:val="left" w:pos="180"/>
              </w:tabs>
              <w:ind w:left="18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The sending stops at sent request.</w:t>
            </w:r>
          </w:p>
        </w:tc>
      </w:tr>
    </w:tbl>
    <w:p w:rsidR="00B12317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From your observations above, is this request-reply synchronous or asynchronous? Give a brief explanation of your choice.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8F1948" w:rsidP="008F1948">
            <w:pPr>
              <w:tabs>
                <w:tab w:val="left" w:pos="180"/>
              </w:tabs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This request-reply is synchronous as it sends to the Consumer even when he is offline.</w:t>
            </w:r>
          </w:p>
        </w:tc>
      </w:tr>
    </w:tbl>
    <w:p w:rsidR="00B12317" w:rsidRPr="00297C45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tbl>
      <w:tblPr>
        <w:tblpPr w:leftFromText="180" w:rightFromText="180" w:vertAnchor="text" w:tblpX="108" w:tblpY="113"/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4.1.</w:t>
            </w: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1045C8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045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Suppose now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there is </w:t>
            </w:r>
            <w:r w:rsidRPr="001045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another customer with number 990055 wants to sell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2000 shares of</w:t>
            </w:r>
            <w:r w:rsidRPr="001045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IBM at 82.88, what would have been the JMS message?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Modify the JMS message and send the message from the producer to consumer. Show screen shot(s) of what you have done.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8F1948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3B18B0F" wp14:editId="558B2806">
                  <wp:extent cx="4434840" cy="189357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B12317" w:rsidRDefault="00B12317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8F1948" w:rsidRDefault="008F1948" w:rsidP="00B12317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FF"/>
          <w:sz w:val="20"/>
          <w:szCs w:val="20"/>
        </w:rPr>
      </w:pPr>
    </w:p>
    <w:p w:rsidR="00B12317" w:rsidRPr="00E04F22" w:rsidRDefault="00B12317" w:rsidP="00B12317">
      <w:pPr>
        <w:pStyle w:val="Heading2"/>
      </w:pPr>
      <w:r>
        <w:lastRenderedPageBreak/>
        <w:t>Part 4.2</w:t>
      </w:r>
      <w:r w:rsidRPr="00E04F22">
        <w:t xml:space="preserve">: </w:t>
      </w:r>
      <w:r>
        <w:t>Comparisons and Conclusions</w:t>
      </w:r>
    </w:p>
    <w:p w:rsidR="00B12317" w:rsidRDefault="00B12317" w:rsidP="00B1231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80" w:rightFromText="180" w:vertAnchor="text" w:tblpX="108" w:tblpY="113"/>
        <w:tblW w:w="892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B12317" w:rsidRPr="00E97E09" w:rsidTr="00665097">
        <w:tc>
          <w:tcPr>
            <w:tcW w:w="1728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4.2.a</w:t>
            </w:r>
          </w:p>
        </w:tc>
        <w:tc>
          <w:tcPr>
            <w:tcW w:w="720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rPr>
                <w:rFonts w:ascii="Arial" w:hAnsi="Arial" w:cs="Arial"/>
                <w:sz w:val="20"/>
                <w:szCs w:val="20"/>
              </w:rPr>
            </w:pPr>
            <w:r w:rsidRPr="00E97E09">
              <w:rPr>
                <w:rFonts w:ascii="Arial" w:hAnsi="Arial" w:cs="Arial"/>
                <w:sz w:val="20"/>
                <w:szCs w:val="20"/>
              </w:rPr>
              <w:t>From what you have done in lab exercise 3, what are the differences between JMS Queue and Topic? Fill in the table below.</w:t>
            </w:r>
          </w:p>
        </w:tc>
      </w:tr>
      <w:tr w:rsidR="00B12317" w:rsidRPr="00E97E09" w:rsidTr="0066509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FF"/>
                <w:sz w:val="20"/>
                <w:szCs w:val="20"/>
              </w:rPr>
            </w:pPr>
          </w:p>
          <w:tbl>
            <w:tblPr>
              <w:tblW w:w="70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5"/>
              <w:gridCol w:w="2520"/>
              <w:gridCol w:w="2520"/>
            </w:tblGrid>
            <w:tr w:rsidR="00B12317" w:rsidRPr="00E97E09" w:rsidTr="00665097">
              <w:tc>
                <w:tcPr>
                  <w:tcW w:w="1975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>Queue</w:t>
                  </w:r>
                </w:p>
              </w:tc>
              <w:tc>
                <w:tcPr>
                  <w:tcW w:w="2520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>Topic</w:t>
                  </w:r>
                </w:p>
              </w:tc>
            </w:tr>
            <w:tr w:rsidR="00B12317" w:rsidRPr="00E97E09" w:rsidTr="00665097">
              <w:tc>
                <w:tcPr>
                  <w:tcW w:w="1975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>How does it handle when there is more than 1 subscriber?</w:t>
                  </w:r>
                </w:p>
              </w:tc>
              <w:tc>
                <w:tcPr>
                  <w:tcW w:w="2520" w:type="dxa"/>
                </w:tcPr>
                <w:p w:rsidR="00B12317" w:rsidRPr="00E97E09" w:rsidRDefault="008F1948" w:rsidP="00665097">
                  <w:pPr>
                    <w:framePr w:hSpace="180" w:wrap="around" w:vAnchor="text" w:hAnchor="text" w:x="108" w:y="113"/>
                    <w:ind w:left="432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Only 1 will get message</w:t>
                  </w:r>
                </w:p>
              </w:tc>
              <w:tc>
                <w:tcPr>
                  <w:tcW w:w="2520" w:type="dxa"/>
                </w:tcPr>
                <w:p w:rsidR="00B12317" w:rsidRPr="00E97E09" w:rsidRDefault="00C625B6" w:rsidP="00665097">
                  <w:pPr>
                    <w:framePr w:hSpace="180" w:wrap="around" w:vAnchor="text" w:hAnchor="text" w:x="108" w:y="113"/>
                    <w:ind w:left="432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Multiple will</w:t>
                  </w:r>
                  <w:r w:rsidR="008F1948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 get message</w:t>
                  </w:r>
                </w:p>
              </w:tc>
            </w:tr>
            <w:tr w:rsidR="00B12317" w:rsidRPr="00E97E09" w:rsidTr="00665097">
              <w:tc>
                <w:tcPr>
                  <w:tcW w:w="1975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>What can you comment about the reliability of delivery?</w:t>
                  </w:r>
                </w:p>
              </w:tc>
              <w:tc>
                <w:tcPr>
                  <w:tcW w:w="2520" w:type="dxa"/>
                </w:tcPr>
                <w:p w:rsidR="00B12317" w:rsidRPr="00E97E09" w:rsidRDefault="008F1948" w:rsidP="00665097">
                  <w:pPr>
                    <w:framePr w:hSpace="180" w:wrap="around" w:vAnchor="text" w:hAnchor="text" w:x="108" w:y="113"/>
                    <w:ind w:left="432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Does not have to be online to get messages.</w:t>
                  </w:r>
                </w:p>
              </w:tc>
              <w:tc>
                <w:tcPr>
                  <w:tcW w:w="2520" w:type="dxa"/>
                </w:tcPr>
                <w:p w:rsidR="00B12317" w:rsidRPr="00E97E09" w:rsidRDefault="008F1948" w:rsidP="00665097">
                  <w:pPr>
                    <w:framePr w:hSpace="180" w:wrap="around" w:vAnchor="text" w:hAnchor="text" w:x="108" w:y="113"/>
                    <w:ind w:left="432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Consumer has to be online to receive messages.</w:t>
                  </w:r>
                </w:p>
              </w:tc>
            </w:tr>
            <w:tr w:rsidR="00B12317" w:rsidRPr="00E97E09" w:rsidTr="00665097">
              <w:tc>
                <w:tcPr>
                  <w:tcW w:w="1975" w:type="dxa"/>
                </w:tcPr>
                <w:p w:rsidR="00B12317" w:rsidRPr="00E97E09" w:rsidRDefault="00B12317" w:rsidP="00665097">
                  <w:pPr>
                    <w:framePr w:hSpace="180" w:wrap="around" w:vAnchor="text" w:hAnchor="text" w:x="108" w:y="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>Give 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 example (any example) of how</w:t>
                  </w: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 xml:space="preserve"> Queue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 xml:space="preserve"> and Topic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Pr="00E97E09">
                    <w:rPr>
                      <w:rFonts w:ascii="Arial" w:hAnsi="Arial" w:cs="Arial"/>
                      <w:sz w:val="20"/>
                      <w:szCs w:val="20"/>
                    </w:rPr>
                    <w:t xml:space="preserve"> can be applied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an air-ticket-booking application. </w:t>
                  </w:r>
                </w:p>
              </w:tc>
              <w:tc>
                <w:tcPr>
                  <w:tcW w:w="2520" w:type="dxa"/>
                </w:tcPr>
                <w:p w:rsidR="008F1948" w:rsidRPr="00E97E09" w:rsidRDefault="0041583B" w:rsidP="008F1948">
                  <w:pPr>
                    <w:framePr w:hSpace="180" w:wrap="around" w:vAnchor="text" w:hAnchor="text" w:x="108" w:y="113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Used for submitting purchase order for seats as order piority is important.</w:t>
                  </w:r>
                </w:p>
              </w:tc>
              <w:tc>
                <w:tcPr>
                  <w:tcW w:w="2520" w:type="dxa"/>
                </w:tcPr>
                <w:p w:rsidR="00B12317" w:rsidRPr="00E97E09" w:rsidRDefault="0041583B" w:rsidP="00665097">
                  <w:pPr>
                    <w:framePr w:hSpace="180" w:wrap="around" w:vAnchor="text" w:hAnchor="text" w:x="108" w:y="113"/>
                    <w:ind w:left="432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News updates to customers </w:t>
                  </w:r>
                </w:p>
              </w:tc>
            </w:tr>
          </w:tbl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B12317" w:rsidRDefault="00B12317" w:rsidP="00B1231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80" w:rightFromText="180" w:vertAnchor="text" w:tblpX="108" w:tblpY="113"/>
        <w:tblW w:w="892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7155"/>
      </w:tblGrid>
      <w:tr w:rsidR="00B12317" w:rsidRPr="00E97E09" w:rsidTr="00665097">
        <w:tc>
          <w:tcPr>
            <w:tcW w:w="1773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4.2.b</w:t>
            </w:r>
          </w:p>
        </w:tc>
        <w:tc>
          <w:tcPr>
            <w:tcW w:w="7155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027126" w:rsidRDefault="00B12317" w:rsidP="00665097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97E09">
              <w:rPr>
                <w:rFonts w:ascii="Arial" w:hAnsi="Arial" w:cs="Arial"/>
                <w:sz w:val="20"/>
                <w:szCs w:val="20"/>
              </w:rPr>
              <w:t xml:space="preserve">Read this article </w:t>
            </w:r>
            <w:r w:rsidRPr="00E97E09">
              <w:rPr>
                <w:rFonts w:ascii="Arial" w:hAnsi="Arial" w:cs="Arial"/>
                <w:sz w:val="20"/>
                <w:szCs w:val="20"/>
              </w:rPr>
              <w:br/>
            </w:r>
            <w:hyperlink r:id="rId8" w:anchor="1024717" w:history="1">
              <w:r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http://docs.oracle.com/javae</w:t>
              </w:r>
              <w:r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e</w:t>
              </w:r>
              <w:r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/1.3/jms/tutorial/1_3_1-fcs/doc/advanced.html#1024717</w:t>
              </w:r>
            </w:hyperlink>
          </w:p>
        </w:tc>
      </w:tr>
      <w:tr w:rsidR="00B12317" w:rsidRPr="00E97E09" w:rsidTr="00665097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Question 4.2.b.i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B123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97E09">
              <w:rPr>
                <w:rFonts w:ascii="Arial" w:hAnsi="Arial" w:cs="Arial"/>
                <w:sz w:val="20"/>
                <w:szCs w:val="20"/>
              </w:rPr>
              <w:t xml:space="preserve">Explain briefly in your own words, what is a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durable </w:t>
            </w:r>
            <w:r w:rsidRPr="00E97E09">
              <w:rPr>
                <w:rFonts w:ascii="Arial" w:hAnsi="Arial" w:cs="Arial"/>
                <w:sz w:val="20"/>
                <w:szCs w:val="20"/>
              </w:rPr>
              <w:t>subscription?</w:t>
            </w: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12317" w:rsidRPr="00E97E09" w:rsidTr="00665097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 to 4.2.b.i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Default="000127A9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when subscriber is not online, he will be able to know what is going on when he goes online.</w:t>
            </w:r>
            <w:r w:rsidR="004158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317" w:rsidRPr="00E97E09" w:rsidTr="00665097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Question 4.2.b.ii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B123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97E09">
              <w:rPr>
                <w:rFonts w:ascii="Arial" w:hAnsi="Arial" w:cs="Arial"/>
                <w:sz w:val="20"/>
                <w:szCs w:val="20"/>
              </w:rPr>
              <w:t>From your experience in part 3.3.2 steps 9 – 17</w:t>
            </w:r>
            <w:r>
              <w:rPr>
                <w:rFonts w:ascii="Arial" w:hAnsi="Arial" w:cs="Arial"/>
                <w:sz w:val="20"/>
                <w:szCs w:val="20"/>
              </w:rPr>
              <w:t xml:space="preserve"> of lab 3</w:t>
            </w:r>
            <w:r w:rsidRPr="00E97E09">
              <w:rPr>
                <w:rFonts w:ascii="Arial" w:hAnsi="Arial" w:cs="Arial"/>
                <w:sz w:val="20"/>
                <w:szCs w:val="20"/>
              </w:rPr>
              <w:t xml:space="preserve">, write down an advantage and a disadvantage for a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durable </w:t>
            </w:r>
            <w:r w:rsidRPr="00E97E09">
              <w:rPr>
                <w:rFonts w:ascii="Arial" w:hAnsi="Arial" w:cs="Arial"/>
                <w:sz w:val="20"/>
                <w:szCs w:val="20"/>
              </w:rPr>
              <w:t>subscription.</w:t>
            </w: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12317" w:rsidRPr="00E97E09" w:rsidTr="00665097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 to 4.2.b.ii</w:t>
            </w:r>
          </w:p>
        </w:tc>
        <w:tc>
          <w:tcPr>
            <w:tcW w:w="7155" w:type="dxa"/>
            <w:tcBorders>
              <w:top w:val="single" w:sz="4" w:space="0" w:color="auto"/>
              <w:left w:val="single" w:sz="4" w:space="0" w:color="auto"/>
              <w:bottom w:val="single" w:sz="12" w:space="0" w:color="008000"/>
              <w:right w:val="single" w:sz="4" w:space="0" w:color="auto"/>
            </w:tcBorders>
            <w:shd w:val="clear" w:color="auto" w:fill="auto"/>
          </w:tcPr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12317" w:rsidRDefault="0041583B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Messages are not lost. Higher overhead costs as memory space is required to hold messages that are not sent.</w:t>
            </w: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2317" w:rsidRPr="00C953ED" w:rsidRDefault="00B12317" w:rsidP="00B1231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</w:p>
    <w:tbl>
      <w:tblPr>
        <w:tblpPr w:leftFromText="180" w:rightFromText="180" w:vertAnchor="text" w:tblpX="108" w:tblpY="113"/>
        <w:tblW w:w="8793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7020"/>
      </w:tblGrid>
      <w:tr w:rsidR="00B12317" w:rsidRPr="00E97E09" w:rsidTr="00665097">
        <w:tc>
          <w:tcPr>
            <w:tcW w:w="1773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b/>
                <w:sz w:val="20"/>
                <w:szCs w:val="20"/>
              </w:rPr>
              <w:t>Question 4.2.c</w:t>
            </w:r>
          </w:p>
        </w:tc>
        <w:tc>
          <w:tcPr>
            <w:tcW w:w="7020" w:type="dxa"/>
            <w:tcBorders>
              <w:top w:val="single" w:sz="12" w:space="0" w:color="008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rPr>
                <w:rFonts w:ascii="Arial" w:hAnsi="Arial" w:cs="Arial"/>
                <w:sz w:val="20"/>
                <w:szCs w:val="20"/>
              </w:rPr>
            </w:pPr>
            <w:r w:rsidRPr="00E97E09">
              <w:rPr>
                <w:rFonts w:ascii="Arial" w:hAnsi="Arial" w:cs="Arial"/>
                <w:sz w:val="20"/>
                <w:szCs w:val="20"/>
              </w:rPr>
              <w:t>From your experience in this lab exercise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7E09">
              <w:rPr>
                <w:rFonts w:ascii="Arial" w:hAnsi="Arial" w:cs="Arial"/>
                <w:sz w:val="20"/>
                <w:szCs w:val="20"/>
              </w:rPr>
              <w:t xml:space="preserve">(lab 4), how is </w:t>
            </w:r>
            <w:r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Pr="00E97E09">
              <w:rPr>
                <w:rFonts w:ascii="Arial" w:hAnsi="Arial" w:cs="Arial"/>
                <w:sz w:val="20"/>
                <w:szCs w:val="20"/>
              </w:rPr>
              <w:t>request-reply different from those queues and topics done in lab 3? Explain briefly.</w:t>
            </w:r>
          </w:p>
        </w:tc>
      </w:tr>
      <w:tr w:rsidR="00B12317" w:rsidRPr="00E97E09" w:rsidTr="00665097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Pr="00E97E09" w:rsidRDefault="00B12317" w:rsidP="0066509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E97E09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Answer: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41583B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Request-reply is sync and message producer will wait for acknowledgement whereas for queues and topics, host will just push messages out.</w:t>
            </w: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12317" w:rsidRPr="00E97E09" w:rsidRDefault="00B12317" w:rsidP="00665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A231D" w:rsidRDefault="0021300C">
      <w:bookmarkStart w:id="0" w:name="_GoBack"/>
      <w:bookmarkEnd w:id="0"/>
    </w:p>
    <w:sectPr w:rsidR="001A231D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3F7" w:rsidRPr="001E7BBC" w:rsidRDefault="0021300C" w:rsidP="001E7BBC">
    <w:pPr>
      <w:pStyle w:val="Footer"/>
      <w:tabs>
        <w:tab w:val="left" w:pos="7200"/>
      </w:tabs>
      <w:rPr>
        <w:rFonts w:ascii="Arial" w:hAnsi="Arial" w:cs="Arial"/>
        <w:sz w:val="20"/>
        <w:szCs w:val="20"/>
      </w:rPr>
    </w:pPr>
    <w:r w:rsidRPr="00B342CB">
      <w:rPr>
        <w:rFonts w:ascii="Arial" w:hAnsi="Arial" w:cs="Arial"/>
        <w:color w:val="FFFFFF"/>
        <w:sz w:val="20"/>
        <w:szCs w:val="20"/>
      </w:rPr>
      <w:t>EI201</w:t>
    </w:r>
    <w:r w:rsidRPr="00B342CB">
      <w:rPr>
        <w:rFonts w:ascii="Arial" w:hAnsi="Arial" w:cs="Arial"/>
        <w:color w:val="FFFFFF"/>
        <w:sz w:val="20"/>
        <w:szCs w:val="20"/>
      </w:rPr>
      <w:t>2</w:t>
    </w:r>
    <w:r w:rsidRPr="001E7BBC">
      <w:rPr>
        <w:rFonts w:ascii="Arial" w:hAnsi="Arial" w:cs="Arial"/>
        <w:color w:val="FFFFFF"/>
        <w:sz w:val="20"/>
        <w:szCs w:val="20"/>
      </w:rPr>
      <w:tab/>
    </w:r>
    <w:r w:rsidRPr="001E7BBC">
      <w:rPr>
        <w:rFonts w:ascii="Arial" w:hAnsi="Arial" w:cs="Arial"/>
        <w:color w:val="FFFFFF"/>
        <w:sz w:val="20"/>
        <w:szCs w:val="20"/>
      </w:rPr>
      <w:tab/>
    </w:r>
    <w:r w:rsidRPr="001E7BBC">
      <w:rPr>
        <w:rFonts w:ascii="Arial" w:hAnsi="Arial" w:cs="Arial"/>
        <w:sz w:val="20"/>
        <w:szCs w:val="20"/>
      </w:rPr>
      <w:t xml:space="preserve">Page </w:t>
    </w:r>
    <w:r w:rsidRPr="001E7BBC">
      <w:rPr>
        <w:rFonts w:ascii="Arial" w:hAnsi="Arial" w:cs="Arial"/>
        <w:sz w:val="20"/>
        <w:szCs w:val="20"/>
      </w:rPr>
      <w:fldChar w:fldCharType="begin"/>
    </w:r>
    <w:r w:rsidRPr="001E7BBC">
      <w:rPr>
        <w:rFonts w:ascii="Arial" w:hAnsi="Arial" w:cs="Arial"/>
        <w:sz w:val="20"/>
        <w:szCs w:val="20"/>
      </w:rPr>
      <w:instrText xml:space="preserve"> PAGE </w:instrText>
    </w:r>
    <w:r w:rsidRPr="001E7BBC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1E7BBC">
      <w:rPr>
        <w:rFonts w:ascii="Arial" w:hAnsi="Arial" w:cs="Arial"/>
        <w:sz w:val="20"/>
        <w:szCs w:val="20"/>
      </w:rPr>
      <w:fldChar w:fldCharType="end"/>
    </w:r>
    <w:r w:rsidRPr="001E7BBC">
      <w:rPr>
        <w:rFonts w:ascii="Arial" w:hAnsi="Arial" w:cs="Arial"/>
        <w:sz w:val="20"/>
        <w:szCs w:val="20"/>
      </w:rPr>
      <w:t xml:space="preserve"> of </w:t>
    </w:r>
    <w:r w:rsidRPr="001E7BBC">
      <w:rPr>
        <w:rFonts w:ascii="Arial" w:hAnsi="Arial" w:cs="Arial"/>
        <w:sz w:val="20"/>
        <w:szCs w:val="20"/>
      </w:rPr>
      <w:fldChar w:fldCharType="begin"/>
    </w:r>
    <w:r w:rsidRPr="001E7BBC">
      <w:rPr>
        <w:rFonts w:ascii="Arial" w:hAnsi="Arial" w:cs="Arial"/>
        <w:sz w:val="20"/>
        <w:szCs w:val="20"/>
      </w:rPr>
      <w:instrText xml:space="preserve"> NUMPAGES </w:instrText>
    </w:r>
    <w:r w:rsidRPr="001E7BBC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1E7BBC">
      <w:rPr>
        <w:rFonts w:ascii="Arial" w:hAnsi="Arial" w:cs="Arial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205B6"/>
    <w:multiLevelType w:val="hybridMultilevel"/>
    <w:tmpl w:val="82E6465A"/>
    <w:lvl w:ilvl="0" w:tplc="B66A7426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C51562"/>
    <w:multiLevelType w:val="hybridMultilevel"/>
    <w:tmpl w:val="D2186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7"/>
    <w:rsid w:val="000127A9"/>
    <w:rsid w:val="0021300C"/>
    <w:rsid w:val="003F3AE6"/>
    <w:rsid w:val="0041583B"/>
    <w:rsid w:val="00495C6C"/>
    <w:rsid w:val="0055393C"/>
    <w:rsid w:val="008F1948"/>
    <w:rsid w:val="00B12317"/>
    <w:rsid w:val="00C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04FE4-1847-4766-BF96-907739E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3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123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123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317"/>
    <w:rPr>
      <w:rFonts w:ascii="Arial" w:eastAsia="SimSun" w:hAnsi="Arial" w:cs="Arial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12317"/>
    <w:rPr>
      <w:rFonts w:ascii="Arial" w:eastAsia="SimSun" w:hAnsi="Arial" w:cs="Arial"/>
      <w:b/>
      <w:bCs/>
      <w:i/>
      <w:iCs/>
      <w:sz w:val="28"/>
      <w:szCs w:val="28"/>
      <w:lang w:val="en-US" w:eastAsia="zh-CN"/>
    </w:rPr>
  </w:style>
  <w:style w:type="character" w:styleId="Hyperlink">
    <w:name w:val="Hyperlink"/>
    <w:rsid w:val="00B12317"/>
    <w:rPr>
      <w:color w:val="0000FF"/>
      <w:u w:val="single"/>
    </w:rPr>
  </w:style>
  <w:style w:type="paragraph" w:customStyle="1" w:styleId="Default">
    <w:name w:val="Default"/>
    <w:rsid w:val="00B12317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B123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317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127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1.3/jms/tutorial/1_3_1-fcs/doc/advanc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3</cp:revision>
  <dcterms:created xsi:type="dcterms:W3CDTF">2015-01-20T07:59:00Z</dcterms:created>
  <dcterms:modified xsi:type="dcterms:W3CDTF">2015-01-20T13:09:00Z</dcterms:modified>
</cp:coreProperties>
</file>