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[NOME DO ÓRGÃO AMBIENTAL]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[Decisão de Diretoria / Instrução Normativa / Resolução] Nº [XXX/20XX]</w:t>
      </w:r>
    </w:p>
    <w:p>
      <w:pPr>
        <w:pBdr>
          <w:bottom w:val="single" w:color="2E5090" w:sz="6" w:space="8"/>
        </w:pBdr>
        <w:spacing w:before="200" w:after="80"/>
        <w:jc w:val="center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ANEXO [N]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ESPECIFICAÇÃO TÉCNICA PARA PADRONIZAÇÃO DE DADOS
DE MONITORAMENTO E GERENCIAMENTO AMBIENTAL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SUMÁRIO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1A1A1A"/>
          <w:sz w:val="22"/>
          <w:szCs w:val="22"/>
        </w:rPr>
        <w:t xml:space="preserve">(Atualizar Sumário após abertura no processador de texto)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OBJETIVO E ESCOPO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1.1. O presente Anexo estabelece a especificação técnica do modelo de dados padronizado para apresentação, armazenamento, transmissão e auditoria de dados ambientais resultantes das etapas de monitoramento preventivo, gerenciamento de áreas contaminadas e licenciamento ambiental, conforme disposto no Art. [X] desta [DD/IN/Resolução].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1.2. O modelo de dados de referência adotado baseia-se na especificação ECOBYTESMODEL (IOST, C.S., [ano]), desenvolvida segundo os princípios de dados abertos, interoperabilidade, auditabilidade criptográfica e compatibilidade com sistemas de processamento automatizado, incluindo modelos de linguagem de grande escala (Large Language Models – LLMs), disponível em [URL do repositório oficial].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1.3. A adoção do modelo de referência não exclui a possibilidade de utilização de implementações alternativas, desde que comprovadamente compatíveis com a estrutura, taxonomia, requisitos de integridade e protocolos de verificação definidos neste Anexo, conforme procedimento de homologação descrito na Seção 9.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1.4. A presente especificação aplica-se a todas as áreas sujeitas a monitoramento preventivo da qualidade do solo e das águas subterrâneas, bem como às etapas de gerenciamento de áreas contaminadas previstas na legislação vigente, abrangendo, sem limitação: Avaliação Preliminar, Investigação Confirmatória, Investigação Detalhada, Avaliação de Risco, Plano de Intervenção e Monitoramento para Encerramento.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3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Termo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3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Blockchain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Estrutura de dados distribuída e imutável, organizada em blocos encadeados por funções hash criptográficas, que permite o registro cronológico e verificável de transações sem dependência de autoridade central.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Cadeia de Provência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Registro sequencial e verificável de todas as operações de criação, modificação e transmissão realizadas sobre um conjunto de dados, incluindo identificação do responsável técnico, data/hora e hash de integridade.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Chave Alfanumérica do Modelo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Identificador único gerado a partir dos metadados e conteúdo do modelo ambiental, utilizado para compartilhamento, importação e verificação de integridade via URL.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Environmental Digital Twin (EDT)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Representação digital tridimensional de um sítio ambiental, integrada com dados temporais de monitoramento, capaz de refletir o estado e a evolução das condições ambientais em tempo quase-real.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Famílias Tipológicas (PDPL-U)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Classificação hierárquica padronizada dos elementos espaciais que compõem um modelo ambiental, conforme taxonomia definida na Seção 4 deste Anexo.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Hash Criptográfico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Valor fixo resultante da aplicação de função hash (SHA-256 ou superior) sobre um conjunto de dados, utilizado para verificação de integridade e detecção de adulteração.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LLM (Large Language Model)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Modelo computacional de processamento de linguagem natural, baseado em redes neurais de grande escala, capaz de interpretar, gerar e validar dados estruturados a partir de instruções em linguagem natural ou esquemas formais.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Modelo de Dados Padronizado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Estrutura formal de organização de dados ambientais, composta por esquemas (schemas), dicionários de dados, taxonomias e regras de validação, conforme especificado neste Anexo.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Notarização em Blockchain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Procedimento de registro do hash criptográfico de um conjunto de dados em rede blockchain pública, gerando prova temporal e imutável da existência e integridade do dado na data do registro.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Observação Temporal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Registro de parâmetro ambiental (concentração, nível, vazão, entre outros) vinculado a um ponto espacial específico e a uma data/hora de amostragem, constituindo a unidade fundamental de série temporal no modelo.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Schema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Especificação formal da estrutura, tipos de dados, restrições e relacionamentos de um conjunto de dados, expresso em formato legível por máquina (JSON Schema, XML Schema ou equivalente).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Verificação Automatizada por LLM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Procedimento de validação de dados ambientais mediante processamento por modelo de linguagem, incluindo verificação de consistência, completude, conformidade taxonômica e plausibilidade técnica.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FUNDAMENTO LEGAL E NORMATIVO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3.1. A presente especificação fundamenta-se nos seguintes dispositivos legais e normativos: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Lei Federal nº 6.938/1981 – Política Nacional do Meio Ambiente;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Lei Estadual nº 13.577/2009 – Proteção da Qualidade do Solo e Gerenciamento de Áreas Contaminadas;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Decreto Estadual nº 59.263/2013 – Regulamento da Lei Estadual nº 13.577/2009;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Resolução CONAMA nº 420/2009 – Critérios e valores orientadores de qualidade do solo;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Decisão de Diretoria CETESB nº 038/2017/C – Procedimento para Proteção da Qualidade do Solo e Águas Subterrâneas;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Decisão de Diretoria CETESB nº 256/2016/E – Valores Orientadores para Solo e Águas Subterrâneas;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g)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Lei Federal nº 13.709/2018 (LGPD) – no que couber, quanto ao tratamento de dados vinculados a pessoas naturais;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h)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ISO 19156:2011 – Observations and Measurements;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ISO 19136:2007 – Geography Markup Language (GML);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j)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Diretiva INSPIRE 2007/2/EC – no que aplicável como referência internacional de interoperabilidade de dados espaciais ambientais.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3.2. A referência a normas internacionais neste Anexo tem caráter orientativo, prevalecendo, em caso de conflito, a legislação nacional e estadual vigente.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TAXONOMIA E FAMÍLIAS TIPOLÓGICAS (PDPL-U)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4.1. Todo elemento espacial representado no modelo de dados deverá ser classificado em uma das famílias tipológicas padronizadas abaixo, denominadas famílias PDPL-U (Plume, Disposal, Point, Layer, Utility):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3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Família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3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3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Exemplos de Elementos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Contamination Plume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Geometria volumétrica representativa da distribuição espacial de contaminantes em solo e/ou águas subterrâneas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Pluma de fase dissolvida, NAPL, fase vapor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Monitoring Well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Ponto de monitoramento georreferenciado com atributos construtivos e operacionais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Poço de monitoramento, piezômetro, poço multiparâmetro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GRI (Ground Remediation Infrastructure)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Infraestrutura ativa de remediação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Sistema pump-and-treat, barreira reativa, SVE, bioventing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Bore / Sondagem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Perfuração exploratória com descrição estratigráfica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Sondagem SPT, sondagem rotativa, direct push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Building / Edificação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Estrutura construída sobre ou adjacente à área investigada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Galpão, residência, tanque aéreo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Storage Tank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Sistema de armazenamento subterrâneo ou aéreo de substâncias de interesse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SASC, tanque aéreo, reservatório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Waste / Resíduo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Depósito ou disposição de resíduos sólidos ou líquidos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Aterro, lagoa, bota-fora, vala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Boundary / Limite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Delimitador espacial da área de estudo ou de restrição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Perímetro da área, zona de restrição, área de influência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Geological Layer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Camada geológica representada por superfície ou volume tridimensional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Aterro, argila, areia, rocha sã, nível d'água</w:t>
            </w:r>
          </w:p>
        </w:tc>
      </w:tr>
    </w:tbl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1A1A1A"/>
          <w:sz w:val="18"/>
          <w:szCs w:val="18"/>
        </w:rPr>
        <w:t xml:space="preserve">Tabela 1 – Famílias Tipológicas PDPL-U do Modelo de Dados Padronizado.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4.2. O órgão ambiental poderá, mediante Instrução Técnica complementar, estender a lista de famílias tipológicas para acomodar novos tipos de elementos não previstos na Tabela 1, desde que mantida a compatibilidade com o modelo de dados de referência.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4.3. Cada elemento deverá possuir, no mínimo, os seguintes atributos obrigatórios: identificador único, família tipológica, coordenadas georreferenciadas (tridimensionais, em SIRGAS 2000, código EPSG 4674), representação cromática padronizada e data de cadastro.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MODELO DE DADOS ESPACIAL E TEMPORAL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5.1. Estrutura Espacial Tridimensional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5.1.1. O modelo de dados deverá suportar a representação tridimensional do sítio ambiental, integrando, no mínimo, três camadas fundamentais de informação: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Estratigrafia Geológica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: representação das camadas do subsolo por meio de superfícies ou volumes interpolados a partir de dados de sondagem, incluindo coluna estratigráfica associada;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II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Passivos Ambientais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: identificação e delimitação volumétrica de plumas de contaminação (fase dissolvida, livre, retida e vapor), com parâmetros de transparência para análise de profundidade e sobreposição;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III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Infraestrutura de Monitoramento e Remediação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: posição tridimensional de poços de monitoramento, sondagens, sistemas de remediação e demais elementos instrumentais, com marcadores georreferenciados.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5.2. Observações Temporais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5.2.1. O modelo deverá permitir a vinculação de observações temporais a pontos espaciais específicos, transformando o modelo estático em um gêmeo digital ambiental (Environmental Digital Twin). Cada observação deverá conter, no mínimo: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Identificador do elemento espacial ao qual se vincula;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Parâmetro monitorado (substância química de interesse, nível d’água, vazão, entre outros);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Valor numérico e unidade de medida, em notação padronizada;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Data e hora da coleta (formato ISO 8601, fuso horário explícito);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Método analítico e laboratório responsável;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Limite de detecção e limite de quantificação do método;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g)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Flag de qualidade (conforme programa de controle de qualidade QA/QC).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5.3. Formato de Intercâmbio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5.3.1. Os dados deverão ser transmitidos em formato JSON (JavaScript Object Notation) conforme schema publicado pelo órgão ambiental, ou em formato equivalente legível por máquina (GeoJSON, XML/GML), desde que em conformidade com o modelo de dados padronizado.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5.3.2. O schema de referência deverá ser publicado e versionado pelo órgão ambiental em repositório público, acessível via URL estável, permitindo validação automatizada dos dados submetidos.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INTEGRIDADE, RASTREABILIDADE E NOTARIZAÇÃO EM BLOCKCHAIN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6.1. Hash Criptográfico de Integridade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6.1.1. Todo conjunto de dados submetido ao órgão ambiental deverá ser acompanhado de hash criptográfico (SHA-256, conforme FIPS 180-4, ou algoritmo de segurança equivalente ou superior), calculado sobre o conteúdo integral do arquivo de dados, incluindo metadados.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6.1.2. O hash de integridade deverá ser informado no ato da submissão e registrado pelo órgão ambiental para fins de verificação posterior. Qualquer alteração no conteúdo do arquivo após a submissão resultará em divergência do hash, caracterizando quebra de integridade.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6.1.3. O modelo de dados deverá suportar hash individual por elemento e por observação, além do hash global do modelo, permitindo identificação granular de alterações.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6.2. Cadeia de Proveniência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6.2.1. O modelo de dados deverá manter registro sequencial de proveniência (provenance chain) contendo, para cada operação de criação, modificação ou exclusão de dados: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Identificação do Responsável Técnico (nome, registro profissional, ART/RRT);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Data e hora da operação (formato ISO 8601, fuso horário explícito);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Tipo de operação (criação, atualização, exclusão, importação, exportação);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Hash do estado anterior e hash do estado posterior à operação;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Descrição resumida da justificativa técnica da alteração.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6.3. Notarização em Blockchain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6.3.1. Como camada opcional de auditabilidade, o modelo de dados poderá ser submetido a notarização em rede blockchain pública, mediante registro do hash criptográfico global do modelo em transação de rede distribuída.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6.3.2. A notarização em blockchain tem caráter complementar e não substitui os mecanismos obrigatórios de integridade (Seção 6.1) e proveniência (Seção 6.2). Sua utilização é recomendada para os seguintes casos: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Áreas contaminadas críticas, conforme classificação do órgão ambiental;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II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Processos judiciais ou administrativos em que a prova da integridade temporal dos dados seja relevante;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III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Monitoramento para encerramento, em que a demonstração do progresso ambiental ao longo do tempo é determinante;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IV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Situações em que o Responsável Legal ou o Responsável Técnico opte voluntariamente pela camada adicional de auditabilidade.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6.3.3. Quando adotada, a notarização deverá observar os seguintes requisitos: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Utilização de rede blockchain pública, permissionless, com histórico de operação contínua superior a 5 (cinco) anos, aplicando-se o princípio de robustez temporal (Efeito Lindy);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Registro do hash SHA-256 do modelo completo, acompanhado de metadados mínimos: identificador do sítio, data da campanha, versão do modelo e identificador do Responsável Técnico;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Preservação do identificador de transação (transaction ID) como parte integrante dos metadados do modelo, permitindo verificação independente por terceiros;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Documentação do procedimento de notarização no relatório técnico correspondente.</w:t>
      </w:r>
    </w:p>
    <w:p>
      <w:pPr>
        <w:spacing w:after="120" w:line="2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555555"/>
          <w:sz w:val="20"/>
          <w:szCs w:val="20"/>
        </w:rPr>
        <w:t xml:space="preserve">Nota: </w:t>
      </w: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A notarização em blockchain atesta a existência e integridade do dado em determinada data, não a veracidade do conteúdo. A responsabilidade técnica pelo conteúdo dos dados permanece exclusivamente do Responsável Técnico e do Responsável Legal, conforme legislação vigente.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6.4. Chave Alfanumérica de Compartilhamento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6.4.1. O modelo de dados deverá gerar chave alfanumérica única, derivada dos metadados e do hash de integridade, que permita: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Compartilhamento do modelo entre partes interessadas (Responsável Legal, Responsável Técnico, órgão ambiental, Ministério Público) mediante URL estável;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Importação do modelo em sistemas compatíveis sem dependência de formato proprietário;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Verificação automatizada de integridade no ato da importação.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 COMPATIBILIDADE COM PROCESSAMENTO AUTOMATIZADO E VERIFICAÇÃO POR LLMs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7.1. Princípios de Design LLM-Nativo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7.1.1. O modelo de dados deverá ser projetado para ser nativamente interpretável por sistemas de inteligência artificial, incluindo modelos de linguagem de grande escala (LLMs), observando os seguintes princípios: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Autodescrição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: todo campo do modelo deverá possuir descrição em linguagem natural embutida no schema, incluindo unidades de medida, faixas de valores esperados e restrições de domínio;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II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Tipagem explícita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: todos os tipos de dados (numérico, textual, data, coordenada, enumerado) deverão ser formalmente declarados no schema, sem ambiguidade;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III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Vocabulário controlado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: parâmetros ambientais, unidades de medida, métodos analíticos e classificações deverão utilizar listas de valores padronizadas (code lists), publicadas e versionadas;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IV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Relações explícitas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: as relações entre elementos espaciais e observações temporais deverão ser expressas por referências formais (chaves estrangeiras, URIs), nunca por convenções implícitas;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Documentação inline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: a documentação do modelo deverá ser embutida nos próprios arquivos de schema, acessível a agentes automatizados sem necessidade de consulta a documentos externos.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7.2. Verificação Automatizada por LLM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7.2.1. O órgão ambiental poderá, a seu critério, utilizar sistemas de verificação automatizada baseados em LLMs para validação preliminar dos dados submetidos. A verificação automatizada poderá abranger: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Validação estrutural: conformidade do arquivo com o schema vigente, incluindo campos obrigatórios, tipos de dados e restrições de domínio;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Consistência taxonômica: aderência dos elementos às famílias tipológicas e vocabulários controlados;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Plausibilidade técnica: identificação de valores anômalos (outliers) por comparação com faixas esperadas para os parâmetros ambientais e as características do sítio;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Completude: verificação de que todos os poços de monitoramento declarados possuem observações para a campanha em questão;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Consistência temporal: verificação de coerência entre campanhas sequenciais, incluindo detecção de inversões improváveis de tendência e descontinuidades não justificadas;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Conformidade regulatória: comparação automatizada dos resultados analíticos com Valores Orientadores de Prevenção e Intervenção vigentes.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7.2.2. A verificação automatizada por LLM tem caráter auxiliar e não substitui a análise técnica do órgão ambiental. As inconsistências identificadas pelo sistema automatizado deverão ser comunicadas ao Responsável Técnico para esclarecimento, previamente a qualquer decisão administrativa.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7.2.3. O órgão ambiental deverá publicar, quando da adoção de verificação automatizada, os critérios e parâmetros utilizados pelo sistema, garantindo transparência e possibilidade de contestação técnica pelo regulado.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7.3. Interface Programática de Acesso (API)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7.3.1. Recomenda-se que o órgão ambiental disponibilize interface programática de acesso (Application Programming Interface – API) para submissão, consulta e validação de dados ambientais, observando: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Protocolo HTTPS com autenticação via certificado digital (ICP-Brasil) ou mecanismo equivalente;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II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Endpoint de validação prévia (dry-run) que permita ao Responsável Técnico verificar a conformidade dos dados antes da submissão formal;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III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Respostas em formato JSON estruturado, incluindo detalhamento de erros e advertências por campo;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IV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Documentação da API em formato OpenAPI 3.0 ou superior, acessível publicamente.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 METADADOS OBRIGATÓRIOS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8.1. Todo modelo de dados submetido ao órgão ambiental deverá conter os seguintes metadados obrigatórios: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3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Campo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3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3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site_id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String (UUID v4)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Identificador único do sítio ambiental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site_name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Nome oficial da área conforme cadastro no órgão ambiental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model_version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String (SemVer)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Versão do modelo de dados utilizado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schema_version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String (SemVer)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Versão do schema de referência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DateTime (ISO 8601)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Data/hora de criação do modelo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DateTime (ISO 8601)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Data/hora da última modificação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campaign_date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Date (ISO 8601)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Data da campanha de monitoramento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responsible_legal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Object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Identificação do Responsável Legal (CNPJ, razão social)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responsible_technical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Object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Identificação do Responsável Técnico (nome, CREA/CRQ, ART)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coordinate_system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String (EPSG)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Sistema de referência (obrigatório SIRGAS 2000)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hash_sha256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String (hex, 64 chars)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Hash de integridade do modelo completo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blockchain_tx_id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String (opcional)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ID de transação de notarização em blockchain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alphanumeric_key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Chave alfanumérica para compartilhamento via URL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provenance_log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Array&lt;Object&gt;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Registro sequencial de operações (cadeia de proveniência)</w:t>
            </w:r>
          </w:p>
        </w:tc>
      </w:tr>
    </w:tbl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1A1A1A"/>
          <w:sz w:val="18"/>
          <w:szCs w:val="18"/>
        </w:rPr>
        <w:t xml:space="preserve">Tabela 2 – Metadados obrigatórios do modelo de dados.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 HOMOLOGAÇÃO DE IMPLEMENTAÇÕES ALTERNATIVAS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9.1. Implementações alternativas ao modelo de referência poderão ser utilizadas, desde que submetidas a procedimento de homologação junto ao órgão ambiental, que compreenderá: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Demonstração de conformidade estrutural com o schema de referência vigente, mediante submissão de conjunto de dados de teste e relatório de validação;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II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Compatibilidade com as famílias tipológicas PDPL-U e vocabulários controlados;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III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Suporte aos mecanismos obrigatórios de integridade (hash SHA-256) e cadeia de proveniência;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IV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Capacidade de exportação no formato de intercâmbio padronizado (Seção 5.3);</w:t>
      </w:r>
    </w:p>
    <w:p>
      <w:pPr>
        <w:spacing w:after="12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 –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Compatibilidade com processamento automatizado (Seção 7.1).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9.2. A homologação terá validade de 2 (dois) anos, podendo ser renovada mediante demonstração de conformidade com as atualizações do schema de referência publicadas no período.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9.3. A utilização de implementação não homologada para submissão de dados ao órgão ambiental resultará na devolução do relatório para adequação, sem prejuízo dos prazos estabelecidos na legislação vigente.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 TRANSIÇÃO E PRAZOS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10.1. O órgão ambiental publicará, no prazo de [180] dias da publicação desta [DD/IN], Instrução Técnica contendo: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Schema de referência completo, em formato JSON Schema (draft 2020-12 ou superior);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Dicionário de dados com descrição detalhada de todos os campos, tipos, restrições e exemplos;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Vocabulários controlados (code lists) para parâmetros ambientais, métodos analíticos, unidades de medida e classificações;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Exemplos de implementação com conjuntos de dados de teste;</w:t>
      </w:r>
    </w:p>
    <w:p>
      <w:pPr>
        <w:spacing w:after="100" w:line="276"/>
        <w:ind w:left="108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e)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Ferramenta de validação online para verificação de conformidade.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10.2. O período de transição para adoção obrigatória do modelo de dados padronizado será de [12] meses a partir da publicação da Instrução Técnica referida no item 10.1.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10.3. Durante o período de transição, serão aceitos dados em formato PDF acompanhados de planilha eletrônica, conforme prática vigente. Após o período de transição, a submissão em formato não padronizado resultará na devolução do relatório para adequação.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10.4. O órgão ambiental poderá promover, em cooperação com entidades de classe (AESAS, ABG, ABAS, entre outras), programas de capacitação para Responsáveis Técnicos sobre a utilização do modelo de dados padronizado.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 DISPOSIÇÕES FINAIS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11.1. O schema de referência será mantido e atualizado pelo órgão ambiental em repositório público com controle de versão, garantindo rastreabilidade das alterações e compatibilidade retroativa.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11.2. Atualizações do schema que impliquem alterações na estrutura obrigatória (breaking changes) deverão ser precedidas de consulta pública com prazo mínimo de [60] dias e período de convivência de versões de [6] meses.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11.3. O modelo de dados de referência (ECOBYTESMODEL) é distribuído sob licença de código aberto para uso público e acadêmico. A utilização comercial deverá observar os termos de licenciamento dual publicados no repositório oficial do projeto.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11.4. Casos omissos serão dirimidos pelo órgão ambiental, mediante consulta ao corpo técnico responsável pela gestão do modelo de dados.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1A1A1A"/>
          <w:sz w:val="22"/>
          <w:szCs w:val="22"/>
        </w:rPr>
        <w:t xml:space="preserve">11.5. O presente Anexo entra em vigor na data de publicação desta [Decisão de Diretoria / Instrução Normativa / Resolução].</w:t>
      </w:r>
    </w:p>
    <w:p>
      <w:pPr>
        <w:spacing w:before="120" w:after="120"/>
      </w:pPr>
    </w:p>
    <w:p>
      <w:pPr>
        <w:spacing w:before="120" w:after="120"/>
      </w:pPr>
    </w:p>
    <w:p>
      <w:pPr>
        <w:pBdr>
          <w:top w:val="single" w:color="2E5090" w:sz="2" w:space="8"/>
        </w:pBdr>
        <w:spacing w:before="400" w:after="200"/>
        <w:jc w:val="center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[Local], [dia] de [mês] de [ano].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_______________________________________________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[Nome do Diretor / Presidente]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[Cargo]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2" w:space="4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Anexo [N] – Especificação Técnica – Modelo de Dados Padronizado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2026-02-25T04:38:27.623Z</dcterms:created>
  <dcterms:modified xsi:type="dcterms:W3CDTF">2026-02-25T04:38:27.624Z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