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b/>
          <w:sz w:val="28"/>
        </w:rPr>
        <w:t>Especificação Técnica — Modelo de Dados Ambientais e Camada de Inspeção</w:t>
      </w:r>
    </w:p>
    <w:p>
      <w:pPr>
        <w:spacing w:before="280" w:after="80"/>
        <w:jc w:val="left"/>
      </w:pPr>
      <w:r>
        <w:rPr>
          <w:b/>
          <w:sz w:val="24"/>
        </w:rPr>
        <w:t>1. Objetivo e escopo</w:t>
      </w:r>
    </w:p>
    <w:p>
      <w:pPr>
        <w:jc w:val="both"/>
      </w:pPr>
      <w:r>
        <w:t>1.1. Este Anexo estabelece a especificação técnica de um modelo de dados para representação, armazenamento, intercâmbio e auditoria de informação ambiental, e define a camada de inspeção que torna esse modelo verificável por terceiros.</w:t>
      </w:r>
    </w:p>
    <w:p>
      <w:pPr>
        <w:jc w:val="both"/>
      </w:pPr>
      <w:r>
        <w:t>1.2. A especificação é neutra quanto a fornecedor: define estrutura, invariantes e comportamentos observáveis que qualquer implementação pode cumprir e que qualquer auditor pode verificar.</w:t>
      </w:r>
    </w:p>
    <w:p>
      <w:pPr>
        <w:jc w:val="both"/>
      </w:pPr>
      <w:r>
        <w:t>1.3. O escopo abrange o ciclo completo de informação de um empreendimento ou território sob acompanhamento ambiental e ocupacional, a saber:</w:t>
      </w:r>
    </w:p>
    <w:p>
      <w:pPr>
        <w:jc w:val="both"/>
      </w:pPr>
      <w:r>
        <w:t>a) meios físicos e bióticos — solo, subsolo e estratigrafia, água subterrânea, água superficial, ar e habitats;</w:t>
      </w:r>
    </w:p>
    <w:p>
      <w:pPr>
        <w:jc w:val="both"/>
      </w:pPr>
      <w:r>
        <w:t>b) fontes e vetores — fontes de emissão, correntes de resíduo, pontos de efluente, tanques, edificações e demais ativos construídos com potencial de interferência;</w:t>
      </w:r>
    </w:p>
    <w:p>
      <w:pPr>
        <w:jc w:val="both"/>
      </w:pPr>
      <w:r>
        <w:t>c) investigação e monitoramento — poços, sondagens, amostras, sensores em série temporal, campanhas e marcos de referência;</w:t>
      </w:r>
    </w:p>
    <w:p>
      <w:pPr>
        <w:jc w:val="both"/>
      </w:pPr>
      <w:r>
        <w:t>d) contaminação e transporte — plumas, interpolação geoestatística e representação volumétrica do meio;</w:t>
      </w:r>
    </w:p>
    <w:p>
      <w:pPr>
        <w:jc w:val="both"/>
      </w:pPr>
      <w:r>
        <w:t>e) exposição ocupacional e eventos — indivíduos expostos, incidentes e ocorrências de saúde e segurança do trabalho;</w:t>
      </w:r>
    </w:p>
    <w:p>
      <w:pPr>
        <w:jc w:val="both"/>
      </w:pPr>
      <w:r>
        <w:t>f) avaliação, decisão e intervenção — avaliação de risco, cenários comparados, planos de ação e as medidas efetivamente executadas;</w:t>
      </w:r>
    </w:p>
    <w:p>
      <w:pPr>
        <w:jc w:val="both"/>
      </w:pPr>
      <w:r>
        <w:t>g) suporte à conformidade — custos e centros de custo associados a cada etapa, estrutura analítica do trabalho, contratos, validação profissional do responsável técnico e indicadores de desempenho.</w:t>
      </w:r>
    </w:p>
    <w:p>
      <w:pPr>
        <w:jc w:val="both"/>
      </w:pPr>
      <w:r>
        <w:t>1.3.1. Nem toda autoridade exigirá todas as classes acima. As que não se aplicarem ao caso permanecem ausentes do conjunto de dados — ausência declarada, nunca preenchida com valor neutro.</w:t>
      </w:r>
    </w:p>
    <w:p>
      <w:pPr>
        <w:jc w:val="both"/>
      </w:pPr>
      <w:r>
        <w:t>1.4. A adoção não substitui a legislação aplicável em cada território: define o formato pelo qual a informação exigida por essa legislação é apresentada, transmitida e conferida.</w:t>
      </w:r>
    </w:p>
    <w:p>
      <w:pPr>
        <w:spacing w:before="280" w:after="80"/>
        <w:jc w:val="left"/>
      </w:pPr>
      <w:r>
        <w:rPr>
          <w:b/>
          <w:sz w:val="24"/>
        </w:rPr>
        <w:t>2. Fundamento normativo multinacional</w:t>
      </w:r>
    </w:p>
    <w:p>
      <w:pPr>
        <w:jc w:val="both"/>
      </w:pPr>
      <w:r>
        <w:t xml:space="preserve">O denominador comum dos regimes abaixo </w:t>
      </w:r>
      <w:r>
        <w:rPr>
          <w:i/>
        </w:rPr>
        <w:t>não é o valor orientador</w:t>
      </w:r>
      <w:r>
        <w:t xml:space="preserve"> — que varia por território e por uso do solo — mas a exigência de que o dado seja localizável, datado, metrologicamente qualificado, atribuível a um responsável e reproduzível por terceiro. Esta especificação organiza esse denominador comum.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Jurisdição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Instrumento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Exigência de dado que impõe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União Europeia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Diretiva 2007/2/CE (INSPIRE)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Metadados, interoperabilidade e serviços de rede para dados espaciais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União Europeia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Diretiva 2000/60/CE (Água)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Séries temporais de estado quantitativo e químico com rastreabilidade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União Europeia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Diretiva 2010/75/UE (Emissões Industriais)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Relatório de situação de base do solo e da água subterrânea, comparável no tempo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União Europeia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Diretiva 2004/35/CE (Responsabilidade Ambiental)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Caracterização do dano e do estado inicial em bases verificáveis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Estados Unidos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CERCLA, 42 U.S.C. §9601 e segs.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Caracterização fonte-via-receptor com cadeia de custódia documentada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Estados Unidos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RCRA, 42 U.S.C. §6901 e segs.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Monitoramento de água subterrânea com séries estatisticamente tratáveis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Estados Unidos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ASTM E1527 e E1903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Avaliação em fases, com registro de decisão em cada fase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Estados Unidos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EPA Staged Electronic Data Deliverable (SEDD)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Entrega eletrônica estruturada de resultados analíticos e metadados de laboratório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Canadá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CCME Canada-Wide Standards; CSA Z768/Z769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Avaliação em fases e comparação com valores de referência por uso do solo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Reino Unido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Environmental Protection Act 1990, Parte 2A; LCRM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Modelo conceitual de sítio explícito, com ligação demonstrada fonte-via-receptor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Austrália e Nova Zelândia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NEPM (ASC), 1999 alt. 2013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Plano de amostragem com base estatística e critérios de investigação declarados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Brasil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Lei 6.938/1981 (Política Nacional do Meio Ambiente)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Cadastro e avaliação de atividades poluidoras, com informação passível de fiscalização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Brasil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Resolução CONAMA 420/2009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Valores de prevenção e de investigação para solo e água subterrânea, por classe de uso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Brasil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Resolução CONAMA 396/2008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Enquadramento e diretrizes para água subterrânea, por uso preponderante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Brasil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Resoluções CONAMA 357/2005 e 430/2011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Classes de corpos d’água e condições de lançamento de efluentes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Brasil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Resolução CONAMA 491/2018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Padrões de qualidade do ar e séries de monitoramento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Brasil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Lei 12.305/2010 (Resíduos Sólidos)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Rastreabilidade da geração à destinação final de cada corrente de resíduo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Brasil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ABNT NBR 15515 e NBR 16434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Avaliação preliminar, investigação confirmatória e detalhada, com registro por etapa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Brasil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NR-09 e NR-15; eSocial S-2240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Caracterização da exposição ocupacional a agentes nocivos, por trabalhador e período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Brasil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Lei 13.709/2018 (LGPD)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Base legal declarada e minimização quando houver dado de pessoa identificável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América Latina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Demais instrumentos nacionais de gerenciamento de áreas contaminadas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Valores orientadores por matriz e uso, com georreferenciamento das amostras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Internacional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ISO 19115, 19107, 19156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Metadados geográficos, esquema espacial, modelo de observações e medições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Internacional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ISO 28258; ISO 18400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Intercâmbio digital de dados de solo e procedimentos de amostragem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Internacional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OGC O&amp;M; OGC SensorThings API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Representação canônica de observação e acesso a séries de sensores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Internacional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W3C PROV-O, SOSA/SSN, DCAT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Proveniência, sensoriamento e catalogação de conjuntos de dados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Internacional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Princípios FAIR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Achabilidade, acessibilidade, interoperabilidade e reutilização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Proteção de dados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Regimes aplicáveis de dados pessoais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Minimização, base legal declarada, separação entre dado ambiental e dado de pessoa</w:t>
            </w:r>
          </w:p>
        </w:tc>
      </w:tr>
    </w:tbl>
    <w:p/>
    <w:p>
      <w:pPr>
        <w:jc w:val="both"/>
      </w:pPr>
      <w:r>
        <w:t xml:space="preserve">Valores orientadores, limites de intervenção e classes de uso permanecem definidos pela autoridade competente. O modelo os trata como </w:t>
      </w:r>
      <w:r>
        <w:rPr>
          <w:b/>
        </w:rPr>
        <w:t>parâmetros externos, versionados e citáveis</w:t>
      </w:r>
      <w:r>
        <w:t>, nunca como constantes embutidas na implementação.</w:t>
      </w:r>
    </w:p>
    <w:p>
      <w:pPr>
        <w:spacing w:before="280" w:after="80"/>
        <w:jc w:val="left"/>
      </w:pPr>
      <w:r>
        <w:rPr>
          <w:b/>
          <w:sz w:val="24"/>
        </w:rPr>
        <w:t>3. Forma do conjunto de dados</w:t>
      </w:r>
    </w:p>
    <w:p>
      <w:pPr>
        <w:jc w:val="both"/>
      </w:pPr>
      <w:r>
        <w:t xml:space="preserve">O conjunto é uma árvore com </w:t>
      </w:r>
      <w:r>
        <w:rPr>
          <w:i/>
        </w:rPr>
        <w:t>42 seções de primeiro nível</w:t>
      </w:r>
      <w:r>
        <w:t>. As que interessam à auditoria do dado ambiental são as listadas abaixo; as demais registram estado de aplicação (visualização, ferramentas do usuário, presets) e não participam de cálculo.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>schemaVersion, timestamp, modelId, modelLinks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>project, coordinate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>families, elements, edges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>campaigns, scenes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>labels, taxonomyBindings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>interpolation, voxel, classifier, nn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>report, storyboard, constellation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>contracts, wbs, projectRegistry, costCenters, financial, actionPlan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>access, groups, professionalValidation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>validationProfiles, userConstants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>libraries, userTools, ecoTools, calculator, sao, macState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>corporateIO, filterPresets, ticker, view</w:t>
      </w:r>
    </w:p>
    <w:p/>
    <w:p>
      <w:pPr>
        <w:spacing w:before="200" w:after="60"/>
        <w:jc w:val="left"/>
      </w:pPr>
      <w:r>
        <w:rPr>
          <w:b/>
          <w:sz w:val="22"/>
        </w:rPr>
        <w:t>3.1. Identificação e georreferenciamento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>{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"schemaVersion": 2,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"timestamp": "2026-08-07T17:12:44.301Z",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"modelId": "cb4db4f9590e1c2b",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"project": {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  "name": "…",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  "description": "…",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  "author": "…",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  "responsibleTechnical": "…",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  "responsibleLegal": "…",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  "areas": [ … ],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  "areasTree": { … }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},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"coordinate": {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  "system": "UTM",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  "zone": 21,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  "hemisphere": "S",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  "origin": { "easting": 0, "northing": 0, "elevation": 0 }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}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>}</w:t>
      </w:r>
    </w:p>
    <w:p/>
    <w:p>
      <w:pPr>
        <w:jc w:val="both"/>
      </w:pPr>
      <w:r>
        <w:t xml:space="preserve">A separação entre </w:t>
      </w:r>
      <w:r>
        <w:rPr>
          <w:rFonts w:ascii="Consolas" w:hAnsi="Consolas"/>
          <w:sz w:val="19"/>
        </w:rPr>
        <w:t>responsibleTechnical</w:t>
      </w:r>
      <w:r>
        <w:t xml:space="preserve"> e </w:t>
      </w:r>
      <w:r>
        <w:rPr>
          <w:rFonts w:ascii="Consolas" w:hAnsi="Consolas"/>
          <w:sz w:val="19"/>
        </w:rPr>
        <w:t>responsibleLegal</w:t>
      </w:r>
      <w:r>
        <w:t xml:space="preserve"> é normativa: as jurisdições da Seção 2 exigem responsável técnico com habilitação profissional, que nem sempre coincide com o responsável legal pelo empreendimento.</w:t>
      </w:r>
    </w:p>
    <w:p>
      <w:pPr>
        <w:spacing w:before="280" w:after="80"/>
        <w:jc w:val="left"/>
      </w:pPr>
      <w:r>
        <w:rPr>
          <w:b/>
          <w:sz w:val="24"/>
        </w:rPr>
        <w:t>4. Famílias tipológicas</w:t>
      </w:r>
    </w:p>
    <w:p>
      <w:pPr>
        <w:jc w:val="both"/>
      </w:pPr>
      <w:r>
        <w:t>Cada elemento pertence a uma família, que determina os atributos exigidos, as unidades admissíveis e as regras de validação. As 25 famílias em uso, com a contagem observada no conjunto de referência: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Domínio</w:t>
            </w:r>
          </w:p>
        </w:tc>
        <w:tc>
          <w:tcPr>
            <w:tcW w:type="dxa" w:w="470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Famílias</w:t>
            </w:r>
          </w:p>
        </w:tc>
      </w:tr>
      <w:tr>
        <w:tc>
          <w:tcPr>
            <w:tcW w:type="dxa" w:w="4702"/>
          </w:tcPr>
          <w:p>
            <w:r>
              <w:rPr>
                <w:sz w:val="18"/>
              </w:rPr>
            </w:r>
            <w:r>
              <w:rPr>
                <w:sz w:val="18"/>
              </w:rPr>
              <w:t>Sítio e recorte territorial</w:t>
            </w:r>
          </w:p>
        </w:tc>
        <w:tc>
          <w:tcPr>
            <w:tcW w:type="dxa" w:w="470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site_project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site_area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site_zone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boundary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area</w:t>
            </w:r>
          </w:p>
        </w:tc>
      </w:tr>
      <w:tr>
        <w:tc>
          <w:tcPr>
            <w:tcW w:type="dxa" w:w="4702"/>
          </w:tcPr>
          <w:p>
            <w:r>
              <w:rPr>
                <w:sz w:val="18"/>
              </w:rPr>
            </w:r>
            <w:r>
              <w:rPr>
                <w:sz w:val="18"/>
              </w:rPr>
              <w:t>Meio físico</w:t>
            </w:r>
          </w:p>
        </w:tc>
        <w:tc>
          <w:tcPr>
            <w:tcW w:type="dxa" w:w="470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stratum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lake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river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spring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habitat</w:t>
            </w:r>
          </w:p>
        </w:tc>
      </w:tr>
      <w:tr>
        <w:tc>
          <w:tcPr>
            <w:tcW w:type="dxa" w:w="4702"/>
          </w:tcPr>
          <w:p>
            <w:r>
              <w:rPr>
                <w:sz w:val="18"/>
              </w:rPr>
            </w:r>
            <w:r>
              <w:rPr>
                <w:sz w:val="18"/>
              </w:rPr>
              <w:t>Construído</w:t>
            </w:r>
          </w:p>
        </w:tc>
        <w:tc>
          <w:tcPr>
            <w:tcW w:type="dxa" w:w="470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blueprint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building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tank</w:t>
            </w:r>
          </w:p>
        </w:tc>
      </w:tr>
      <w:tr>
        <w:tc>
          <w:tcPr>
            <w:tcW w:type="dxa" w:w="4702"/>
          </w:tcPr>
          <w:p>
            <w:r>
              <w:rPr>
                <w:sz w:val="18"/>
              </w:rPr>
            </w:r>
            <w:r>
              <w:rPr>
                <w:sz w:val="18"/>
              </w:rPr>
              <w:t>Investigação e monitoramento</w:t>
            </w:r>
          </w:p>
        </w:tc>
        <w:tc>
          <w:tcPr>
            <w:tcW w:type="dxa" w:w="470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well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sample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sensor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marker</w:t>
            </w:r>
          </w:p>
        </w:tc>
      </w:tr>
      <w:tr>
        <w:tc>
          <w:tcPr>
            <w:tcW w:type="dxa" w:w="4702"/>
          </w:tcPr>
          <w:p>
            <w:r>
              <w:rPr>
                <w:sz w:val="18"/>
              </w:rPr>
            </w:r>
            <w:r>
              <w:rPr>
                <w:sz w:val="18"/>
              </w:rPr>
              <w:t>Contaminação e emissão</w:t>
            </w:r>
          </w:p>
        </w:tc>
        <w:tc>
          <w:tcPr>
            <w:tcW w:type="dxa" w:w="470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plume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emission_source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waste_stream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effluent_point</w:t>
            </w:r>
          </w:p>
        </w:tc>
      </w:tr>
      <w:tr>
        <w:tc>
          <w:tcPr>
            <w:tcW w:type="dxa" w:w="4702"/>
          </w:tcPr>
          <w:p>
            <w:r>
              <w:rPr>
                <w:sz w:val="18"/>
              </w:rPr>
            </w:r>
            <w:r>
              <w:rPr>
                <w:sz w:val="18"/>
              </w:rPr>
              <w:t>Ocupacional e eventos</w:t>
            </w:r>
          </w:p>
        </w:tc>
        <w:tc>
          <w:tcPr>
            <w:tcW w:type="dxa" w:w="470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individual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incident</w:t>
            </w:r>
          </w:p>
        </w:tc>
      </w:tr>
      <w:tr>
        <w:tc>
          <w:tcPr>
            <w:tcW w:type="dxa" w:w="4702"/>
          </w:tcPr>
          <w:p>
            <w:r>
              <w:rPr>
                <w:sz w:val="18"/>
              </w:rPr>
            </w:r>
            <w:r>
              <w:rPr>
                <w:sz w:val="18"/>
              </w:rPr>
              <w:t>Outros</w:t>
            </w:r>
          </w:p>
        </w:tc>
        <w:tc>
          <w:tcPr>
            <w:tcW w:type="dxa" w:w="470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intangible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generic</w:t>
            </w:r>
          </w:p>
        </w:tc>
      </w:tr>
    </w:tbl>
    <w:p/>
    <w:p>
      <w:pPr>
        <w:jc w:val="both"/>
      </w:pPr>
      <w:r>
        <w:t xml:space="preserve">A família é declarada no campo </w:t>
      </w:r>
      <w:r>
        <w:rPr>
          <w:rFonts w:ascii="Consolas" w:hAnsi="Consolas"/>
          <w:sz w:val="19"/>
        </w:rPr>
        <w:t>family</w:t>
      </w:r>
      <w:r>
        <w:t xml:space="preserve"> e é </w:t>
      </w:r>
      <w:r>
        <w:rPr>
          <w:i/>
        </w:rPr>
        <w:t>imutável</w:t>
      </w:r>
      <w:r>
        <w:t>: alterá-la equivale a excluir o elemento e criar outro.</w:t>
      </w:r>
    </w:p>
    <w:p>
      <w:pPr>
        <w:spacing w:before="280" w:after="80"/>
        <w:jc w:val="left"/>
      </w:pPr>
      <w:r>
        <w:rPr>
          <w:b/>
          <w:sz w:val="24"/>
        </w:rPr>
        <w:t>5. Estrutura do elemento</w:t>
      </w:r>
    </w:p>
    <w:p>
      <w:pPr>
        <w:jc w:val="both"/>
      </w:pPr>
      <w:r>
        <w:t>Exemplo real, capturado do sistema — poço de monitoramento com 234 observações: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>{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"family":      "well",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"id":          "PM-01",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"name":        "PM-01",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"visible":     true,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"iconClass":   "",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"color":       "",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"description": "",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"label":       "PM-01",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"labels":      {},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"autoLabel":   false,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"data": {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  "coordinates":   { "easting": -31.7828547, "northing": 9.0347050, "elevation": 10.0306401 },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  "construction":  { "totalDepth": 24.0849069, "diameter": 4 },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  "tier":          "downstream",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  "linkedPlumeId": "plume-8",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  "observations":  [ … 234 … ],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  "profile":       { … },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  "costs":         { … }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},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"hierarchy": { … },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"stamps":    { … },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"messages":  [ … ]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>}</w:t>
      </w:r>
    </w:p>
    <w:p/>
    <w:p>
      <w:pPr>
        <w:spacing w:before="200" w:after="60"/>
        <w:jc w:val="left"/>
      </w:pPr>
      <w:r>
        <w:rPr>
          <w:b/>
          <w:sz w:val="22"/>
        </w:rPr>
        <w:t>5.1. Campos e mutabilidade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Campo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Tipo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Mutabilidade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Observação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i/>
                <w:sz w:val="18"/>
              </w:rPr>
              <w:t>invariante de identidade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Identificador do elemento. Na prática corrente é o próprio designativo de campo (</w:t>
            </w:r>
            <w:r>
              <w:rPr>
                <w:rFonts w:ascii="Consolas" w:hAnsi="Consolas"/>
                <w:sz w:val="18"/>
              </w:rPr>
              <w:t>PM-01</w:t>
            </w:r>
            <w:r>
              <w:rPr>
                <w:sz w:val="18"/>
              </w:rPr>
              <w:t>), o que favorece a leitura por quem opera e a correspondência com o caderno de campo. A consequência a assumir: renomear um ponto em campo exige operação de sucessão declarada, não edição.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family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i/>
                <w:sz w:val="18"/>
              </w:rPr>
              <w:t>invariante de identidade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Determina atributos, unidades e regras.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obrigatório, editável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Não pode ser vazio.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visible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lógico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obrigatório, editável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Participação nas representações e nos derivados.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objeto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obrigatório, editável em profundidade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Atributos específicos da família.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label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labels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autoLabel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texto/objeto/lógico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editável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Rotulagem em cena; não é dado ambiental.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iconClass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color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editável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Apresentação; não é dado ambiental.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texto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editável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Anotação livre.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hierarchy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objeto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derivado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Posição do elemento na árvore de áreas.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stamps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objeto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somente leitura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Carimbos de origem e conformidade.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messages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coleção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somente leitura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sz w:val="18"/>
              </w:rPr>
              <w:t>Diagnósticos emitidos por validadores.</w:t>
            </w:r>
          </w:p>
        </w:tc>
      </w:tr>
    </w:tbl>
    <w:p/>
    <w:p>
      <w:pPr>
        <w:spacing w:before="280" w:after="80"/>
        <w:jc w:val="left"/>
      </w:pPr>
      <w:r>
        <w:rPr>
          <w:b/>
          <w:sz w:val="24"/>
        </w:rPr>
        <w:t>6. Estrutura da observação</w:t>
      </w:r>
    </w:p>
    <w:p>
      <w:pPr>
        <w:jc w:val="both"/>
      </w:pPr>
      <w:r>
        <w:t>O núcleo do dado ambiental. Exemplo real, integral: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>{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"id":                  "obs-1739024438142-k5fxi90uz",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"showPlanning":        true,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"plannedDate":         "2021-08-10",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"plannedParameterId":  "pH",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"plannedUnitId":       "pH",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"plannedX":            -31.7828547,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"plannedY":            -12.0424535,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"plannedZ":            9.0347050,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"expectedValue":       null,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"date":                "2021-08-10",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"campaignId":          "campaign-1",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"parameterId":         "pH",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"cas":                 null,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"value":               6.79,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"unitId":              "pH",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"x":                   -31.7828547,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"y":                   -12.0424535,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"z":                   9.0347050,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"autoConvert":         false,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"qualFields":          [],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"additionalReadings":  [ … ],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"variables":           { … },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"credentialLevel":     "…",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"createdBy":           "…",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 xml:space="preserve">  "cost":                { … }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>}</w:t>
      </w:r>
    </w:p>
    <w:p/>
    <w:p>
      <w:pPr>
        <w:spacing w:before="200" w:after="60"/>
        <w:jc w:val="left"/>
      </w:pPr>
      <w:r>
        <w:rPr>
          <w:b/>
          <w:sz w:val="22"/>
        </w:rPr>
        <w:t>6.1. Planejado e executado no mesmo registro</w:t>
      </w:r>
    </w:p>
    <w:p>
      <w:pPr>
        <w:jc w:val="both"/>
      </w:pPr>
      <w:r>
        <w:t xml:space="preserve">A observação carrega </w:t>
      </w:r>
      <w:r>
        <w:rPr>
          <w:i/>
        </w:rPr>
        <w:t>dois conjuntos pareados</w:t>
      </w:r>
      <w:r>
        <w:t>: o planejado (</w:t>
      </w:r>
      <w:r>
        <w:rPr>
          <w:rFonts w:ascii="Consolas" w:hAnsi="Consolas"/>
          <w:sz w:val="19"/>
        </w:rPr>
        <w:t>plannedDate</w:t>
      </w:r>
      <w:r>
        <w:t xml:space="preserve">, </w:t>
      </w:r>
      <w:r>
        <w:rPr>
          <w:rFonts w:ascii="Consolas" w:hAnsi="Consolas"/>
          <w:sz w:val="19"/>
        </w:rPr>
        <w:t>plannedParameterId</w:t>
      </w:r>
      <w:r>
        <w:t xml:space="preserve">, </w:t>
      </w:r>
      <w:r>
        <w:rPr>
          <w:rFonts w:ascii="Consolas" w:hAnsi="Consolas"/>
          <w:sz w:val="19"/>
        </w:rPr>
        <w:t>plannedUnitId</w:t>
      </w:r>
      <w:r>
        <w:t xml:space="preserve">, </w:t>
      </w:r>
      <w:r>
        <w:rPr>
          <w:rFonts w:ascii="Consolas" w:hAnsi="Consolas"/>
          <w:sz w:val="19"/>
        </w:rPr>
        <w:t>plannedX/Y/Z</w:t>
      </w:r>
      <w:r>
        <w:t xml:space="preserve">, </w:t>
      </w:r>
      <w:r>
        <w:rPr>
          <w:rFonts w:ascii="Consolas" w:hAnsi="Consolas"/>
          <w:sz w:val="19"/>
        </w:rPr>
        <w:t>expectedValue</w:t>
      </w:r>
      <w:r>
        <w:t>) e o executado (</w:t>
      </w:r>
      <w:r>
        <w:rPr>
          <w:rFonts w:ascii="Consolas" w:hAnsi="Consolas"/>
          <w:sz w:val="19"/>
        </w:rPr>
        <w:t>date</w:t>
      </w:r>
      <w:r>
        <w:t xml:space="preserve">, </w:t>
      </w:r>
      <w:r>
        <w:rPr>
          <w:rFonts w:ascii="Consolas" w:hAnsi="Consolas"/>
          <w:sz w:val="19"/>
        </w:rPr>
        <w:t>parameterId</w:t>
      </w:r>
      <w:r>
        <w:t xml:space="preserve">, </w:t>
      </w:r>
      <w:r>
        <w:rPr>
          <w:rFonts w:ascii="Consolas" w:hAnsi="Consolas"/>
          <w:sz w:val="19"/>
        </w:rPr>
        <w:t>unitId</w:t>
      </w:r>
      <w:r>
        <w:t xml:space="preserve">, </w:t>
      </w:r>
      <w:r>
        <w:rPr>
          <w:rFonts w:ascii="Consolas" w:hAnsi="Consolas"/>
          <w:sz w:val="19"/>
        </w:rPr>
        <w:t>x/y/z</w:t>
      </w:r>
      <w:r>
        <w:t xml:space="preserve">, </w:t>
      </w:r>
      <w:r>
        <w:rPr>
          <w:rFonts w:ascii="Consolas" w:hAnsi="Consolas"/>
          <w:sz w:val="19"/>
        </w:rPr>
        <w:t>value</w:t>
      </w:r>
      <w:r>
        <w:t>).</w:t>
      </w:r>
    </w:p>
    <w:p>
      <w:pPr>
        <w:jc w:val="both"/>
      </w:pPr>
      <w:r>
        <w:t>Isto é requisito, não conveniência. Os regimes da Seção 2 que exigem plano de amostragem com base estatística — NEPM, RCRA, LCRM — pedem que o desvio entre o previsto e o realizado seja demonstrável. Guardar apenas o executado apaga a pergunta "por que este ponto e não aquele", que é a pergunta da auditoria.</w:t>
      </w:r>
    </w:p>
    <w:p>
      <w:pPr>
        <w:jc w:val="both"/>
      </w:pPr>
      <w:r>
        <w:t xml:space="preserve">O campo </w:t>
      </w:r>
      <w:r>
        <w:rPr>
          <w:rFonts w:ascii="Consolas" w:hAnsi="Consolas"/>
          <w:sz w:val="19"/>
        </w:rPr>
        <w:t>showPlanning</w:t>
      </w:r>
      <w:r>
        <w:t xml:space="preserve"> indica se o par está em uso; quando falso, o registro é apenas de execução.</w:t>
      </w:r>
    </w:p>
    <w:p>
      <w:pPr>
        <w:spacing w:before="200" w:after="60"/>
        <w:jc w:val="left"/>
      </w:pPr>
      <w:r>
        <w:rPr>
          <w:b/>
          <w:sz w:val="22"/>
        </w:rPr>
        <w:t>6.2. Identidade química e unidade</w:t>
      </w:r>
    </w:p>
    <w:p>
      <w:pPr>
        <w:jc w:val="both"/>
      </w:pPr>
      <w:r>
        <w:rPr>
          <w:rFonts w:ascii="Consolas" w:hAnsi="Consolas"/>
          <w:sz w:val="19"/>
        </w:rPr>
        <w:t>parameterId</w:t>
      </w:r>
      <w:r>
        <w:t xml:space="preserve"> nomeia a grandeza; </w:t>
      </w:r>
      <w:r>
        <w:rPr>
          <w:rFonts w:ascii="Consolas" w:hAnsi="Consolas"/>
          <w:sz w:val="19"/>
        </w:rPr>
        <w:t>cas</w:t>
      </w:r>
      <w:r>
        <w:t xml:space="preserve"> traz o registro CAS quando aplicável, permitindo correspondência inequívoca entre laboratórios e jurisdições que adotam listas distintas. </w:t>
      </w:r>
      <w:r>
        <w:rPr>
          <w:rFonts w:ascii="Consolas" w:hAnsi="Consolas"/>
          <w:sz w:val="19"/>
        </w:rPr>
        <w:t>unitId</w:t>
      </w:r>
      <w:r>
        <w:t xml:space="preserve"> declara a unidade; </w:t>
      </w:r>
      <w:r>
        <w:rPr>
          <w:rFonts w:ascii="Consolas" w:hAnsi="Consolas"/>
          <w:sz w:val="19"/>
        </w:rPr>
        <w:t>autoConvert</w:t>
      </w:r>
      <w:r>
        <w:t xml:space="preserve"> indica se a implementação converteu o valor, e a conversão é operação registrada — nunca substituição silenciosa do valor original.</w:t>
      </w:r>
    </w:p>
    <w:p>
      <w:pPr>
        <w:spacing w:before="200" w:after="60"/>
        <w:jc w:val="left"/>
      </w:pPr>
      <w:r>
        <w:rPr>
          <w:b/>
          <w:sz w:val="22"/>
        </w:rPr>
        <w:t>6.3. Qualificadores e leituras adicionais</w:t>
      </w:r>
    </w:p>
    <w:p>
      <w:pPr>
        <w:jc w:val="both"/>
      </w:pPr>
      <w:r>
        <w:rPr>
          <w:rFonts w:ascii="Consolas" w:hAnsi="Consolas"/>
          <w:sz w:val="19"/>
        </w:rPr>
        <w:t>qualFields</w:t>
      </w:r>
      <w:r>
        <w:t xml:space="preserve"> recebe os qualificadores do resultado — abaixo do limite de detecção, abaixo do limite de quantificação, estimado, rejeitado. Resultado abaixo do limite é representado pelo qualificador e pelo valor do limite; nunca por zero, célula vazia ou metade do limite sem declaração da convenção.</w:t>
      </w:r>
    </w:p>
    <w:p>
      <w:pPr>
        <w:jc w:val="both"/>
      </w:pPr>
      <w:r>
        <w:rPr>
          <w:rFonts w:ascii="Consolas" w:hAnsi="Consolas"/>
          <w:sz w:val="19"/>
        </w:rPr>
        <w:t>additionalReadings</w:t>
      </w:r>
      <w:r>
        <w:t xml:space="preserve"> acomoda leituras acessórias do mesmo evento — parâmetros de campo medidos junto à coleta.</w:t>
      </w:r>
    </w:p>
    <w:p>
      <w:pPr>
        <w:spacing w:before="200" w:after="60"/>
        <w:jc w:val="left"/>
      </w:pPr>
      <w:r>
        <w:rPr>
          <w:b/>
          <w:sz w:val="22"/>
        </w:rPr>
        <w:t>6.4. Atribuição</w:t>
      </w:r>
    </w:p>
    <w:p>
      <w:pPr>
        <w:jc w:val="both"/>
      </w:pPr>
      <w:r>
        <w:rPr>
          <w:rFonts w:ascii="Consolas" w:hAnsi="Consolas"/>
          <w:sz w:val="19"/>
        </w:rPr>
        <w:t>createdBy</w:t>
      </w:r>
      <w:r>
        <w:t xml:space="preserve"> identifica quem registrou e </w:t>
      </w:r>
      <w:r>
        <w:rPr>
          <w:rFonts w:ascii="Consolas" w:hAnsi="Consolas"/>
          <w:sz w:val="19"/>
        </w:rPr>
        <w:t>credentialLevel</w:t>
      </w:r>
      <w:r>
        <w:t xml:space="preserve"> qualifica sob que credencial. </w:t>
      </w:r>
      <w:r>
        <w:rPr>
          <w:rFonts w:ascii="Consolas" w:hAnsi="Consolas"/>
          <w:sz w:val="19"/>
        </w:rPr>
        <w:t>campaignId</w:t>
      </w:r>
      <w:r>
        <w:t xml:space="preserve"> liga a observação à campanha. </w:t>
      </w:r>
      <w:r>
        <w:rPr>
          <w:rFonts w:ascii="Consolas" w:hAnsi="Consolas"/>
          <w:sz w:val="19"/>
        </w:rPr>
        <w:t>cost</w:t>
      </w:r>
      <w:r>
        <w:t xml:space="preserve"> associa o custo ao registro, tornando o esforço de investigação auditável junto do resultado.</w:t>
      </w:r>
    </w:p>
    <w:p>
      <w:pPr>
        <w:spacing w:before="280" w:after="80"/>
        <w:jc w:val="left"/>
      </w:pPr>
      <w:r>
        <w:rPr>
          <w:b/>
          <w:sz w:val="24"/>
        </w:rPr>
        <w:t>7. Camada de inspeção</w:t>
      </w:r>
    </w:p>
    <w:p>
      <w:pPr>
        <w:jc w:val="both"/>
      </w:pPr>
      <w:r>
        <w:t xml:space="preserve">A camada de inspeção é o que distingue conjunto de dados </w:t>
      </w:r>
      <w:r>
        <w:rPr>
          <w:i/>
        </w:rPr>
        <w:t>publicado</w:t>
      </w:r>
      <w:r>
        <w:t xml:space="preserve"> de conjunto de dados </w:t>
      </w:r>
      <w:r>
        <w:rPr>
          <w:i/>
        </w:rPr>
        <w:t>auditável</w:t>
      </w:r>
      <w:r>
        <w:t>. Sem ela o destinatário lê resultados; com ela verifica como foram obtidos, o que mudou depois da coleta, por quem e por quê.</w:t>
      </w:r>
    </w:p>
    <w:p>
      <w:pPr>
        <w:spacing w:before="200" w:after="60"/>
        <w:jc w:val="left"/>
      </w:pPr>
      <w:r>
        <w:rPr>
          <w:b/>
          <w:sz w:val="22"/>
        </w:rPr>
        <w:t>7.1. Árvore e caminhos</w:t>
      </w:r>
    </w:p>
    <w:p>
      <w:pPr>
        <w:jc w:val="both"/>
      </w:pPr>
      <w:r>
        <w:t>A estrutura é apresentada como árvore navegável em profundidade arbitrária. Cada nó é endereçado por caminho — segmentos separados por ponto, índices de coleção como segmentos numéricos: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>elements.0.data.coordinates.easting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>elements.0.data.observations.12.value</w:t>
      </w:r>
    </w:p>
    <w:p>
      <w:pPr>
        <w:spacing w:after="0" w:before="0" w:line="240" w:lineRule="auto"/>
        <w:ind w:left="454"/>
      </w:pPr>
      <w:r>
        <w:rPr>
          <w:rFonts w:ascii="Consolas" w:hAnsi="Consolas"/>
          <w:sz w:val="17"/>
        </w:rPr>
        <w:t>elements.0.data.construction.totalDepth</w:t>
      </w:r>
    </w:p>
    <w:p/>
    <w:p>
      <w:pPr>
        <w:jc w:val="both"/>
      </w:pPr>
      <w:r>
        <w:t xml:space="preserve">O caminho é a identidade do nó para erro, proveniência e conformidade. Índices são posicionais e instáveis — a remoção de um elemento desloca os seguintes — de modo que registros que precisem sobreviver a isso referenciam o elemento pelo </w:t>
      </w:r>
      <w:r>
        <w:rPr>
          <w:rFonts w:ascii="Consolas" w:hAnsi="Consolas"/>
          <w:sz w:val="19"/>
        </w:rPr>
        <w:t>id</w:t>
      </w:r>
      <w:r>
        <w:t>.</w:t>
      </w:r>
    </w:p>
    <w:p>
      <w:pPr>
        <w:spacing w:before="200" w:after="60"/>
        <w:jc w:val="left"/>
      </w:pPr>
      <w:r>
        <w:rPr>
          <w:b/>
          <w:sz w:val="22"/>
        </w:rPr>
        <w:t>7.2. Tipos de nó</w:t>
      </w:r>
    </w:p>
    <w:p>
      <w:pPr>
        <w:jc w:val="both"/>
      </w:pPr>
      <w:r>
        <w:rPr>
          <w:rFonts w:ascii="Consolas" w:hAnsi="Consolas"/>
          <w:sz w:val="19"/>
        </w:rPr>
        <w:t>objeto</w:t>
      </w:r>
      <w:r>
        <w:t xml:space="preserve">, </w:t>
      </w:r>
      <w:r>
        <w:rPr>
          <w:rFonts w:ascii="Consolas" w:hAnsi="Consolas"/>
          <w:sz w:val="19"/>
        </w:rPr>
        <w:t>coleção</w:t>
      </w:r>
      <w:r>
        <w:t xml:space="preserve">, </w:t>
      </w:r>
      <w:r>
        <w:rPr>
          <w:rFonts w:ascii="Consolas" w:hAnsi="Consolas"/>
          <w:sz w:val="19"/>
        </w:rPr>
        <w:t>texto</w:t>
      </w:r>
      <w:r>
        <w:t xml:space="preserve">, </w:t>
      </w:r>
      <w:r>
        <w:rPr>
          <w:rFonts w:ascii="Consolas" w:hAnsi="Consolas"/>
          <w:sz w:val="19"/>
        </w:rPr>
        <w:t>número</w:t>
      </w:r>
      <w:r>
        <w:t xml:space="preserve">, </w:t>
      </w:r>
      <w:r>
        <w:rPr>
          <w:rFonts w:ascii="Consolas" w:hAnsi="Consolas"/>
          <w:sz w:val="19"/>
        </w:rPr>
        <w:t>lógico</w:t>
      </w:r>
      <w:r>
        <w:t xml:space="preserve"> e </w:t>
      </w:r>
      <w:r>
        <w:rPr>
          <w:rFonts w:ascii="Consolas" w:hAnsi="Consolas"/>
          <w:sz w:val="19"/>
        </w:rPr>
        <w:t>ausente</w:t>
      </w:r>
      <w:r>
        <w:t>.</w:t>
      </w:r>
    </w:p>
    <w:p>
      <w:pPr>
        <w:jc w:val="both"/>
      </w:pPr>
      <w:r>
        <w:t xml:space="preserve">A edição </w:t>
      </w:r>
      <w:r>
        <w:rPr>
          <w:i/>
        </w:rPr>
        <w:t>preserva o tipo</w:t>
      </w:r>
      <w:r>
        <w:t xml:space="preserve">: campo numérico permanece numérico, lógico permanece lógico. Entrada digitada é convertida ao tipo do nó </w:t>
      </w:r>
      <w:r>
        <w:rPr>
          <w:i/>
        </w:rPr>
        <w:t>antes</w:t>
      </w:r>
      <w:r>
        <w:t xml:space="preserve"> da validação; conversão que falhar resulta em recusa com indicação do tipo esperado.</w:t>
      </w:r>
    </w:p>
    <w:p>
      <w:pPr>
        <w:jc w:val="both"/>
      </w:pPr>
      <w:r>
        <w:rPr>
          <w:rFonts w:ascii="Consolas" w:hAnsi="Consolas"/>
          <w:sz w:val="19"/>
        </w:rPr>
        <w:t>ausente</w:t>
      </w:r>
      <w:r>
        <w:t xml:space="preserve"> é distinto de zero, de texto vazio e de falso. Em dado ambiental a distinção é substantiva: não medido, resultado igual a zero e resultado abaixo do limite de detecção são três situações diferentes.</w:t>
      </w:r>
    </w:p>
    <w:p>
      <w:pPr>
        <w:spacing w:before="200" w:after="60"/>
        <w:jc w:val="left"/>
      </w:pPr>
      <w:r>
        <w:rPr>
          <w:b/>
          <w:sz w:val="22"/>
        </w:rPr>
        <w:t>7.3. Seções editáveis</w:t>
      </w:r>
    </w:p>
    <w:p>
      <w:pPr>
        <w:jc w:val="both"/>
      </w:pPr>
      <w:r>
        <w:t xml:space="preserve">Apenas </w:t>
      </w:r>
      <w:r>
        <w:rPr>
          <w:rFonts w:ascii="Consolas" w:hAnsi="Consolas"/>
          <w:sz w:val="19"/>
        </w:rPr>
        <w:t>elements</w:t>
      </w:r>
      <w:r>
        <w:t xml:space="preserve"> é editável. As demais seções agregam informação produzida por subsistemas distintos e são somente leitura na camada de inspeção: escrita direta nelas criaria divergência entre o valor exibido e a fonte que o produziu.</w:t>
      </w:r>
    </w:p>
    <w:p>
      <w:pPr>
        <w:jc w:val="both"/>
      </w:pPr>
      <w:r>
        <w:t xml:space="preserve">A própria coleção </w:t>
      </w:r>
      <w:r>
        <w:rPr>
          <w:rFonts w:ascii="Consolas" w:hAnsi="Consolas"/>
          <w:sz w:val="19"/>
        </w:rPr>
        <w:t>elements</w:t>
      </w:r>
      <w:r>
        <w:t xml:space="preserve"> é somente leitura quanto à estrutura — elementos nascem e são removidos por operação declarada, não por edição do nó da coleção. Editáveis são os campos internos de cada elemento, exceto </w:t>
      </w:r>
      <w:r>
        <w:rPr>
          <w:rFonts w:ascii="Consolas" w:hAnsi="Consolas"/>
          <w:sz w:val="19"/>
        </w:rPr>
        <w:t>id</w:t>
      </w:r>
      <w:r>
        <w:t xml:space="preserve"> e </w:t>
      </w:r>
      <w:r>
        <w:rPr>
          <w:rFonts w:ascii="Consolas" w:hAnsi="Consolas"/>
          <w:sz w:val="19"/>
        </w:rPr>
        <w:t>family</w:t>
      </w:r>
      <w:r>
        <w:t>.</w:t>
      </w:r>
    </w:p>
    <w:p>
      <w:pPr>
        <w:spacing w:before="200" w:after="60"/>
        <w:jc w:val="left"/>
      </w:pPr>
      <w:r>
        <w:rPr>
          <w:b/>
          <w:sz w:val="22"/>
        </w:rPr>
        <w:t>7.4. Validação prévia à escrita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Verificação</w:t>
            </w:r>
          </w:p>
        </w:tc>
        <w:tc>
          <w:tcPr>
            <w:tcW w:type="dxa" w:w="470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Condição de recusa</w:t>
            </w:r>
          </w:p>
        </w:tc>
      </w:tr>
      <w:tr>
        <w:tc>
          <w:tcPr>
            <w:tcW w:type="dxa" w:w="4702"/>
          </w:tcPr>
          <w:p>
            <w:r>
              <w:rPr>
                <w:sz w:val="18"/>
              </w:rPr>
            </w:r>
            <w:r>
              <w:rPr>
                <w:sz w:val="18"/>
              </w:rPr>
              <w:t>Mutabilidade</w:t>
            </w:r>
          </w:p>
        </w:tc>
        <w:tc>
          <w:tcPr>
            <w:tcW w:type="dxa" w:w="4702"/>
          </w:tcPr>
          <w:p>
            <w:r>
              <w:rPr>
                <w:sz w:val="18"/>
              </w:rPr>
            </w:r>
            <w:r>
              <w:rPr>
                <w:sz w:val="18"/>
              </w:rPr>
              <w:t>Nó invariante de identidade ou em seção somente leitura</w:t>
            </w:r>
          </w:p>
        </w:tc>
      </w:tr>
      <w:tr>
        <w:tc>
          <w:tcPr>
            <w:tcW w:type="dxa" w:w="4702"/>
          </w:tcPr>
          <w:p>
            <w:r>
              <w:rPr>
                <w:sz w:val="18"/>
              </w:rPr>
            </w:r>
            <w:r>
              <w:rPr>
                <w:sz w:val="18"/>
              </w:rPr>
              <w:t>Tipo</w:t>
            </w:r>
          </w:p>
        </w:tc>
        <w:tc>
          <w:tcPr>
            <w:tcW w:type="dxa" w:w="4702"/>
          </w:tcPr>
          <w:p>
            <w:r>
              <w:rPr>
                <w:sz w:val="18"/>
              </w:rPr>
            </w:r>
            <w:r>
              <w:rPr>
                <w:sz w:val="18"/>
              </w:rPr>
              <w:t>Valor proposto não corresponde ao tipo declarado do nó</w:t>
            </w:r>
          </w:p>
        </w:tc>
      </w:tr>
      <w:tr>
        <w:tc>
          <w:tcPr>
            <w:tcW w:type="dxa" w:w="4702"/>
          </w:tcPr>
          <w:p>
            <w:r>
              <w:rPr>
                <w:sz w:val="18"/>
              </w:rPr>
            </w:r>
            <w:r>
              <w:rPr>
                <w:sz w:val="18"/>
              </w:rPr>
              <w:t>Domínio numérico</w:t>
            </w:r>
          </w:p>
        </w:tc>
        <w:tc>
          <w:tcPr>
            <w:tcW w:type="dxa" w:w="4702"/>
          </w:tcPr>
          <w:p>
            <w:r>
              <w:rPr>
                <w:sz w:val="18"/>
              </w:rPr>
            </w:r>
            <w:r>
              <w:rPr>
                <w:sz w:val="18"/>
              </w:rPr>
              <w:t>Valor não finito, ou fora da faixa admissível da grandeza</w:t>
            </w:r>
          </w:p>
        </w:tc>
      </w:tr>
      <w:tr>
        <w:tc>
          <w:tcPr>
            <w:tcW w:type="dxa" w:w="4702"/>
          </w:tcPr>
          <w:p>
            <w:r>
              <w:rPr>
                <w:sz w:val="18"/>
              </w:rPr>
            </w:r>
            <w:r>
              <w:rPr>
                <w:sz w:val="18"/>
              </w:rPr>
              <w:t>Formato</w:t>
            </w:r>
          </w:p>
        </w:tc>
        <w:tc>
          <w:tcPr>
            <w:tcW w:type="dxa" w:w="4702"/>
          </w:tcPr>
          <w:p>
            <w:r>
              <w:rPr>
                <w:sz w:val="18"/>
              </w:rPr>
            </w:r>
            <w:r>
              <w:rPr>
                <w:sz w:val="18"/>
              </w:rPr>
              <w:t>Notação de cor, data ou código de unidade inválidos</w:t>
            </w:r>
          </w:p>
        </w:tc>
      </w:tr>
      <w:tr>
        <w:tc>
          <w:tcPr>
            <w:tcW w:type="dxa" w:w="4702"/>
          </w:tcPr>
          <w:p>
            <w:r>
              <w:rPr>
                <w:sz w:val="18"/>
              </w:rPr>
            </w:r>
            <w:r>
              <w:rPr>
                <w:sz w:val="18"/>
              </w:rPr>
              <w:t>Obrigatoriedade</w:t>
            </w:r>
          </w:p>
        </w:tc>
        <w:tc>
          <w:tcPr>
            <w:tcW w:type="dxa" w:w="4702"/>
          </w:tcPr>
          <w:p>
            <w:r>
              <w:rPr>
                <w:sz w:val="18"/>
              </w:rPr>
            </w:r>
            <w:r>
              <w:rPr>
                <w:sz w:val="18"/>
              </w:rPr>
              <w:t>A operação deixaria vazio ou removeria campo obrigatório</w:t>
            </w:r>
          </w:p>
        </w:tc>
      </w:tr>
      <w:tr>
        <w:tc>
          <w:tcPr>
            <w:tcW w:type="dxa" w:w="4702"/>
          </w:tcPr>
          <w:p>
            <w:r>
              <w:rPr>
                <w:sz w:val="18"/>
              </w:rPr>
            </w:r>
            <w:r>
              <w:rPr>
                <w:sz w:val="18"/>
              </w:rPr>
              <w:t>Coerência</w:t>
            </w:r>
          </w:p>
        </w:tc>
        <w:tc>
          <w:tcPr>
            <w:tcW w:type="dxa" w:w="4702"/>
          </w:tcPr>
          <w:p>
            <w:r>
              <w:rPr>
                <w:sz w:val="18"/>
              </w:rPr>
            </w:r>
            <w:r>
              <w:rPr>
                <w:sz w:val="18"/>
              </w:rPr>
              <w:t>Contradição com nó relacionado (profundidade de amostragem maior que a total; data de análise anterior à de coleta; unidade incompatível com a grandeza)</w:t>
            </w:r>
          </w:p>
        </w:tc>
      </w:tr>
    </w:tbl>
    <w:p/>
    <w:p>
      <w:pPr>
        <w:jc w:val="both"/>
      </w:pPr>
      <w:r>
        <w:t xml:space="preserve">A resposta contém sempre </w:t>
      </w:r>
      <w:r>
        <w:rPr>
          <w:i/>
        </w:rPr>
        <w:t>o caminho do nó, a regra violada e o valor recebido</w:t>
      </w:r>
      <w:r>
        <w:t>.</w:t>
      </w:r>
    </w:p>
    <w:p>
      <w:pPr>
        <w:jc w:val="both"/>
      </w:pPr>
      <w:r>
        <w:t xml:space="preserve">São expressamente vedadas: </w:t>
      </w:r>
      <w:r>
        <w:rPr>
          <w:i/>
        </w:rPr>
        <w:t>recusa silenciosa</w:t>
      </w:r>
      <w:r>
        <w:t xml:space="preserve">, </w:t>
      </w:r>
      <w:r>
        <w:rPr>
          <w:b/>
        </w:rPr>
        <w:t>correção automática sem aviso</w:t>
      </w:r>
      <w:r>
        <w:t xml:space="preserve"> e </w:t>
      </w:r>
      <w:r>
        <w:rPr>
          <w:i/>
        </w:rPr>
        <w:t>aceitação com degradação do dado</w:t>
      </w:r>
      <w:r>
        <w:t>. As três produzem registro que aparenta conformidade sem tê-la.</w:t>
      </w:r>
    </w:p>
    <w:p>
      <w:pPr>
        <w:jc w:val="both"/>
      </w:pPr>
      <w:r>
        <w:t xml:space="preserve">Quando a implementação não puder executar uma verificação, deve recusar a alteração ou registrá-la como </w:t>
      </w:r>
      <w:r>
        <w:rPr>
          <w:i/>
        </w:rPr>
        <w:t>não validada</w:t>
      </w:r>
      <w:r>
        <w:t xml:space="preserve"> — jamais como validada.</w:t>
      </w:r>
    </w:p>
    <w:p>
      <w:pPr>
        <w:spacing w:before="200" w:after="60"/>
        <w:jc w:val="left"/>
      </w:pPr>
      <w:r>
        <w:rPr>
          <w:b/>
          <w:sz w:val="22"/>
        </w:rPr>
        <w:t>7.5. Proveniência</w:t>
      </w:r>
    </w:p>
    <w:p>
      <w:pPr>
        <w:jc w:val="both"/>
      </w:pPr>
      <w:r>
        <w:t xml:space="preserve">Cada alteração aceita gera registro com: caminho do nó, </w:t>
      </w:r>
      <w:r>
        <w:rPr>
          <w:rFonts w:ascii="Consolas" w:hAnsi="Consolas"/>
          <w:sz w:val="19"/>
        </w:rPr>
        <w:t>id</w:t>
      </w:r>
      <w:r>
        <w:t xml:space="preserve"> do elemento, valor anterior preservado, valor novo, responsável, instante com fuso, origem (interface gráfica, interface programática, importação em lote ou rotina automatizada), justificativa quando exigida, e encadeamento por resumo criptográfico ao registro anterior.</w:t>
      </w:r>
    </w:p>
    <w:p>
      <w:pPr>
        <w:jc w:val="both"/>
      </w:pPr>
      <w:r>
        <w:t xml:space="preserve">Importação em lote e correção automatizada geram registros da mesma natureza: a origem é </w:t>
      </w:r>
      <w:r>
        <w:rPr>
          <w:i/>
        </w:rPr>
        <w:t>campo do registro</w:t>
      </w:r>
      <w:r>
        <w:t>, não isenção de registrá-lo.</w:t>
      </w:r>
    </w:p>
    <w:p>
      <w:pPr>
        <w:spacing w:before="200" w:after="60"/>
        <w:jc w:val="left"/>
      </w:pPr>
      <w:r>
        <w:rPr>
          <w:b/>
          <w:sz w:val="22"/>
        </w:rPr>
        <w:t>7.6. Acesso programático</w:t>
      </w:r>
    </w:p>
    <w:p>
      <w:pPr>
        <w:jc w:val="both"/>
      </w:pPr>
      <w:r>
        <w:t>Ler a árvore, consultar tipo e mutabilidade de um nó, propor alteração, obter o resultado da validação e listar a proveniência devem estar disponíveis por interface programática documentada, com o mesmo comportamento e as mesmas recusas da interface gráfica. Interface programática que aceite escrita recusada pela gráfica descumpre esta especificação.</w:t>
      </w:r>
    </w:p>
    <w:p>
      <w:pPr>
        <w:spacing w:before="280" w:after="80"/>
        <w:jc w:val="left"/>
      </w:pPr>
      <w:r>
        <w:rPr>
          <w:b/>
          <w:sz w:val="24"/>
        </w:rPr>
        <w:t>8. Integridade e verificação independente</w:t>
      </w:r>
    </w:p>
    <w:p>
      <w:pPr>
        <w:jc w:val="both"/>
      </w:pPr>
      <w:r>
        <w:t>8.1. O conjunto possui resumo criptográfico sobre serialização determinística: a mesma informação produz sempre a mesma sequência de bytes.</w:t>
      </w:r>
    </w:p>
    <w:p>
      <w:pPr>
        <w:jc w:val="both"/>
      </w:pPr>
      <w:r>
        <w:t>8.2. A cadeia de proveniência é publicada junto ao conjunto. Verificar é recalcular o resumo e reencadear a cadeia — sem acesso ao ambiente de origem.</w:t>
      </w:r>
    </w:p>
    <w:p>
      <w:pPr>
        <w:jc w:val="both"/>
      </w:pPr>
      <w:r>
        <w:t xml:space="preserve">8.3. Deve haver procedimento documentado que permita a terceiro reproduzir os valores derivados a partir das entradas publicadas. Valor derivado não reproduzível é apresentado como </w:t>
      </w:r>
      <w:r>
        <w:rPr>
          <w:i/>
        </w:rPr>
        <w:t>declaração do responsável</w:t>
      </w:r>
      <w:r>
        <w:t>, não como resultado calculado.</w:t>
      </w:r>
    </w:p>
    <w:p>
      <w:pPr>
        <w:jc w:val="both"/>
      </w:pPr>
      <w:r>
        <w:t>8.4. Selagem temporal em infraestrutura distribuída é reforço probatório facultativo; não substitui proveniência nem reprodutibilidade, que são requisitos.</w:t>
      </w:r>
    </w:p>
    <w:p>
      <w:pPr>
        <w:spacing w:before="280" w:after="80"/>
        <w:jc w:val="left"/>
      </w:pPr>
      <w:r>
        <w:rPr>
          <w:b/>
          <w:sz w:val="24"/>
        </w:rPr>
        <w:t>9. Metadados obrigatórios</w:t>
      </w:r>
    </w:p>
    <w:p>
      <w:pPr>
        <w:jc w:val="both"/>
      </w:pPr>
      <w:r>
        <w:t>Identificação do estudo e da área com polígono georreferenciado; responsável técnico com registro profissional; período de coleta e de referência; sistema de coordenadas e datum vertical; laboratórios com escopo de acreditação e métodos analíticos; conjunto de valores orientadores adotado com norma e versão; versão do esquema; declaração de tratamento de dados pessoais quando houver dado de pessoa identificável.</w:t>
      </w:r>
    </w:p>
    <w:p>
      <w:pPr>
        <w:spacing w:before="280" w:after="80"/>
        <w:jc w:val="left"/>
      </w:pPr>
      <w:r>
        <w:rPr>
          <w:b/>
          <w:sz w:val="24"/>
        </w:rPr>
        <w:t>10. Conformidade e homologação</w:t>
      </w:r>
    </w:p>
    <w:p>
      <w:pPr>
        <w:jc w:val="both"/>
      </w:pPr>
      <w:r>
        <w:t xml:space="preserve">10.1. Conformidade se demonstra por </w:t>
      </w:r>
      <w:r>
        <w:rPr>
          <w:i/>
        </w:rPr>
        <w:t>comportamento observável</w:t>
      </w:r>
      <w:r>
        <w:t>, não por declaração do fornecedor.</w:t>
      </w:r>
    </w:p>
    <w:p>
      <w:pPr>
        <w:jc w:val="both"/>
      </w:pPr>
      <w:r>
        <w:t xml:space="preserve">10.2. O procedimento mínimo: importar conjunto de referência; percorrer a árvore e confirmar que nenhuma seção é inacessível; tentar alterar nó de cada classe de mutabilidade e confirmar o comportamento; submeter valores inválidos de tipo, faixa e coerência e confirmar a recusa </w:t>
      </w:r>
      <w:r>
        <w:rPr>
          <w:i/>
        </w:rPr>
        <w:t>com identificação da regra</w:t>
      </w:r>
      <w:r>
        <w:t>; recalcular resumo e cadeia a partir do arquivo exportado.</w:t>
      </w:r>
    </w:p>
    <w:p>
      <w:pPr>
        <w:jc w:val="both"/>
      </w:pPr>
      <w:r>
        <w:t xml:space="preserve">10.3. O conjunto de referência e os casos de teste são publicados pela autoridade competente, </w:t>
      </w:r>
      <w:r>
        <w:rPr>
          <w:i/>
        </w:rPr>
        <w:t>incluindo casos que devem ser rejeitados</w:t>
      </w:r>
      <w:r>
        <w:t>. Bateria composta apenas de casos válidos não demonstra conformidade: uma implementação que aceite tudo passa em todos eles.</w:t>
      </w:r>
    </w:p>
    <w:p>
      <w:pPr>
        <w:jc w:val="both"/>
      </w:pPr>
      <w:r>
        <w:t>10.4. A homologação vincula-se à versão da implementação e à versão do esquema; alterar qualquer uma exige nova submissão.</w:t>
      </w:r>
    </w:p>
    <w:p>
      <w:pPr>
        <w:spacing w:before="280" w:after="80"/>
        <w:jc w:val="left"/>
      </w:pPr>
      <w:r>
        <w:rPr>
          <w:b/>
          <w:sz w:val="24"/>
        </w:rPr>
        <w:t>11. Transição e disposições finais</w:t>
      </w:r>
    </w:p>
    <w:p>
      <w:pPr>
        <w:jc w:val="both"/>
      </w:pPr>
      <w:r>
        <w:t>11.1. Conjuntos anteriores à vigência podem ser apresentados no formato original durante o período de transição definido pela autoridade.</w:t>
      </w:r>
    </w:p>
    <w:p>
      <w:pPr>
        <w:jc w:val="both"/>
      </w:pPr>
      <w:r>
        <w:t>11.2. A conversão de acervo histórico registra, como proveniência, que os valores foram importados e não coletados sob esta especificação. Dado convertido não adquire, pela conversão, garantias que a origem não possuía.</w:t>
      </w:r>
    </w:p>
    <w:p>
      <w:pPr>
        <w:jc w:val="both"/>
      </w:pPr>
      <w:r>
        <w:t>11.3. Alterações que quebrem compatibilidade exigem novo identificador de versão e período de coexistência declarado.</w:t>
      </w:r>
    </w:p>
    <w:p>
      <w:pPr>
        <w:jc w:val="both"/>
      </w:pPr>
      <w:r>
        <w:t>11.4. Havendo divergência entre esta especificação e a legislação aplicável em determinado território, prevalece a legislação, e a divergência é comunicada para correção da especificação.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