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write an SDE's analysis covering: </w:t>
      </w:r>
    </w:p>
    <w:p w:rsidR="00000000" w:rsidDel="00000000" w:rsidP="00000000" w:rsidRDefault="00000000" w:rsidRPr="00000000" w14:paraId="00000002">
      <w:pPr>
        <w:rPr>
          <w:sz w:val="26"/>
          <w:szCs w:val="26"/>
        </w:rPr>
      </w:pPr>
      <w:r w:rsidDel="00000000" w:rsidR="00000000" w:rsidRPr="00000000">
        <w:rPr>
          <w:sz w:val="26"/>
          <w:szCs w:val="26"/>
          <w:rtl w:val="0"/>
        </w:rPr>
        <w:t xml:space="preserve">(a) Data profile — what does this robot produce, at</w:t>
      </w:r>
    </w:p>
    <w:p w:rsidR="00000000" w:rsidDel="00000000" w:rsidP="00000000" w:rsidRDefault="00000000" w:rsidRPr="00000000" w14:paraId="00000003">
      <w:pPr>
        <w:rPr>
          <w:sz w:val="26"/>
          <w:szCs w:val="26"/>
        </w:rPr>
      </w:pPr>
      <w:r w:rsidDel="00000000" w:rsidR="00000000" w:rsidRPr="00000000">
        <w:rPr>
          <w:sz w:val="26"/>
          <w:szCs w:val="26"/>
          <w:rtl w:val="0"/>
        </w:rPr>
        <w:t xml:space="preserve">what rate, and in what size? (frame rate, image resolution, expected payload size per second,</w:t>
      </w:r>
    </w:p>
    <w:p w:rsidR="00000000" w:rsidDel="00000000" w:rsidP="00000000" w:rsidRDefault="00000000" w:rsidRPr="00000000" w14:paraId="00000004">
      <w:pPr>
        <w:rPr>
          <w:sz w:val="26"/>
          <w:szCs w:val="26"/>
        </w:rPr>
      </w:pPr>
      <w:r w:rsidDel="00000000" w:rsidR="00000000" w:rsidRPr="00000000">
        <w:rPr>
          <w:sz w:val="26"/>
          <w:szCs w:val="26"/>
          <w:rtl w:val="0"/>
        </w:rPr>
        <w:t xml:space="preserve">burst behaviour); </w:t>
      </w:r>
    </w:p>
    <w:p w:rsidR="00000000" w:rsidDel="00000000" w:rsidP="00000000" w:rsidRDefault="00000000" w:rsidRPr="00000000" w14:paraId="00000005">
      <w:pPr>
        <w:rPr>
          <w:sz w:val="26"/>
          <w:szCs w:val="26"/>
        </w:rPr>
      </w:pPr>
      <w:r w:rsidDel="00000000" w:rsidR="00000000" w:rsidRPr="00000000">
        <w:rPr>
          <w:sz w:val="26"/>
          <w:szCs w:val="26"/>
          <w:rtl w:val="0"/>
        </w:rPr>
        <w:t xml:space="preserve">(b) Latency requirement — does this platform need a synchronous inference</w:t>
      </w:r>
    </w:p>
    <w:p w:rsidR="00000000" w:rsidDel="00000000" w:rsidP="00000000" w:rsidRDefault="00000000" w:rsidRPr="00000000" w14:paraId="00000006">
      <w:pPr>
        <w:rPr>
          <w:sz w:val="26"/>
          <w:szCs w:val="26"/>
        </w:rPr>
      </w:pPr>
      <w:r w:rsidDel="00000000" w:rsidR="00000000" w:rsidRPr="00000000">
        <w:rPr>
          <w:sz w:val="26"/>
          <w:szCs w:val="26"/>
          <w:rtl w:val="0"/>
        </w:rPr>
        <w:t xml:space="preserve">response in the control loop, or is asynchronous processing with an eventual result acceptable?</w:t>
      </w:r>
    </w:p>
    <w:p w:rsidR="00000000" w:rsidDel="00000000" w:rsidP="00000000" w:rsidRDefault="00000000" w:rsidRPr="00000000" w14:paraId="00000007">
      <w:pPr>
        <w:rPr>
          <w:sz w:val="26"/>
          <w:szCs w:val="26"/>
        </w:rPr>
      </w:pPr>
      <w:r w:rsidDel="00000000" w:rsidR="00000000" w:rsidRPr="00000000">
        <w:rPr>
          <w:sz w:val="26"/>
          <w:szCs w:val="26"/>
          <w:rtl w:val="0"/>
        </w:rPr>
        <w:t xml:space="preserve">State the tolerable p95 latency and why; </w:t>
      </w:r>
    </w:p>
    <w:p w:rsidR="00000000" w:rsidDel="00000000" w:rsidP="00000000" w:rsidRDefault="00000000" w:rsidRPr="00000000" w14:paraId="00000008">
      <w:pPr>
        <w:rPr>
          <w:sz w:val="26"/>
          <w:szCs w:val="26"/>
        </w:rPr>
      </w:pPr>
      <w:r w:rsidDel="00000000" w:rsidR="00000000" w:rsidRPr="00000000">
        <w:rPr>
          <w:sz w:val="26"/>
          <w:szCs w:val="26"/>
          <w:rtl w:val="0"/>
        </w:rPr>
        <w:t xml:space="preserve">(c) Storage and retention — what must be persisted (raw</w:t>
      </w:r>
    </w:p>
    <w:p w:rsidR="00000000" w:rsidDel="00000000" w:rsidP="00000000" w:rsidRDefault="00000000" w:rsidRPr="00000000" w14:paraId="00000009">
      <w:pPr>
        <w:rPr>
          <w:sz w:val="26"/>
          <w:szCs w:val="26"/>
        </w:rPr>
      </w:pPr>
      <w:r w:rsidDel="00000000" w:rsidR="00000000" w:rsidRPr="00000000">
        <w:rPr>
          <w:sz w:val="26"/>
          <w:szCs w:val="26"/>
          <w:rtl w:val="0"/>
        </w:rPr>
        <w:t xml:space="preserve">frames, detections only, aggregated state), for how long, and what are the privacy constraints on</w:t>
      </w:r>
    </w:p>
    <w:p w:rsidR="00000000" w:rsidDel="00000000" w:rsidP="00000000" w:rsidRDefault="00000000" w:rsidRPr="00000000" w14:paraId="0000000A">
      <w:pPr>
        <w:rPr>
          <w:sz w:val="26"/>
          <w:szCs w:val="26"/>
        </w:rPr>
      </w:pPr>
      <w:r w:rsidDel="00000000" w:rsidR="00000000" w:rsidRPr="00000000">
        <w:rPr>
          <w:sz w:val="26"/>
          <w:szCs w:val="26"/>
          <w:rtl w:val="0"/>
        </w:rPr>
        <w:t xml:space="preserve">that data? Fari in a private residence and Aido Rover in a commercial car park are different</w:t>
      </w:r>
    </w:p>
    <w:p w:rsidR="00000000" w:rsidDel="00000000" w:rsidP="00000000" w:rsidRDefault="00000000" w:rsidRPr="00000000" w14:paraId="0000000B">
      <w:pPr>
        <w:rPr>
          <w:sz w:val="26"/>
          <w:szCs w:val="26"/>
        </w:rPr>
      </w:pPr>
      <w:r w:rsidDel="00000000" w:rsidR="00000000" w:rsidRPr="00000000">
        <w:rPr>
          <w:sz w:val="26"/>
          <w:szCs w:val="26"/>
          <w:rtl w:val="0"/>
        </w:rPr>
        <w:t xml:space="preserve">answers; </w:t>
      </w:r>
    </w:p>
    <w:p w:rsidR="00000000" w:rsidDel="00000000" w:rsidP="00000000" w:rsidRDefault="00000000" w:rsidRPr="00000000" w14:paraId="0000000C">
      <w:pPr>
        <w:rPr>
          <w:sz w:val="26"/>
          <w:szCs w:val="26"/>
        </w:rPr>
      </w:pPr>
      <w:r w:rsidDel="00000000" w:rsidR="00000000" w:rsidRPr="00000000">
        <w:rPr>
          <w:sz w:val="26"/>
          <w:szCs w:val="26"/>
          <w:rtl w:val="0"/>
        </w:rPr>
        <w:t xml:space="preserve">(d) Client shape — who consumes this service? (on-robot client, operator dashboard,</w:t>
      </w:r>
    </w:p>
    <w:p w:rsidR="00000000" w:rsidDel="00000000" w:rsidP="00000000" w:rsidRDefault="00000000" w:rsidRPr="00000000" w14:paraId="0000000D">
      <w:pPr>
        <w:rPr>
          <w:sz w:val="26"/>
          <w:szCs w:val="26"/>
        </w:rPr>
      </w:pPr>
      <w:r w:rsidDel="00000000" w:rsidR="00000000" w:rsidRPr="00000000">
        <w:rPr>
          <w:sz w:val="26"/>
          <w:szCs w:val="26"/>
          <w:rtl w:val="0"/>
        </w:rPr>
        <w:t xml:space="preserve">mobile app, another internal service) and what does that imply for the transport and the contract;</w:t>
      </w:r>
    </w:p>
    <w:p w:rsidR="00000000" w:rsidDel="00000000" w:rsidP="00000000" w:rsidRDefault="00000000" w:rsidRPr="00000000" w14:paraId="0000000E">
      <w:pPr>
        <w:rPr>
          <w:sz w:val="26"/>
          <w:szCs w:val="26"/>
        </w:rPr>
      </w:pPr>
      <w:r w:rsidDel="00000000" w:rsidR="00000000" w:rsidRPr="00000000">
        <w:rPr>
          <w:sz w:val="26"/>
          <w:szCs w:val="26"/>
          <w:rtl w:val="0"/>
        </w:rPr>
        <w:t xml:space="preserve">(e) Primary engineering challenge — the hardest backend problem for this platform. This brief is</w:t>
      </w:r>
    </w:p>
    <w:p w:rsidR="00000000" w:rsidDel="00000000" w:rsidP="00000000" w:rsidRDefault="00000000" w:rsidRPr="00000000" w14:paraId="0000000F">
      <w:pPr>
        <w:rPr>
          <w:sz w:val="26"/>
          <w:szCs w:val="26"/>
        </w:rPr>
      </w:pPr>
      <w:r w:rsidDel="00000000" w:rsidR="00000000" w:rsidRPr="00000000">
        <w:rPr>
          <w:sz w:val="26"/>
          <w:szCs w:val="26"/>
          <w:rtl w:val="0"/>
        </w:rPr>
        <w:t xml:space="preserve">the technical foundation for every subsequent design decision.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Carry &amp; Go is a sensor-heavy autonomous indoor delivery robot. Its primary real-time data producers are the navigation and perception stack. The specification lists two 2D LiDAR sensors producing 360° point clouds at 10 Hz, one Intel RealSense D435i RGB-D camera producing 848 × 480 depth frames at 90 fps, eight Time-of-Flight sensors operating at 50 Hz, a 9-DOF IMU sampled at 1 kHz, four wheel encoders producing odometry at 100 Hz, four tray temperature sensors at 1 Hz, load cells, tray-lock sensors, NFC/QR readers, and a separate 1080p IR face-recognition camera. </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navigation system consumes these streams continuously. Runtime localization runs at 100 Hz using fused LiDAR, odometry, and IMU data, while local path planning replans every 100 ms. The independent ToF/ultrasonic reactive-stop layer operates at 50 Hz.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For the backend, the robot also produces lower-bandwidth operational data: robot position, battery level, task state, predicted ETA, sensor-health status, STUM uncertainty, SEOM events, authentication events, delivery timestamps, tray temperature/weight events, energy usage, and performance analytics. At delivery completion, the system pushes sensor data, timestamps, and authentication events to the backend asynchronously. </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Carry &amp; Go requires synchronous inference for navigation and safety functions because the robot must receive an inference result before it can safely continue its current motion. GRPO policy inference runs directly on the Jetson AGX Orin edge computer and requires p95 inference latency below 15 ms. This keeps navigation decisions inside the robot's real-time control loop without depending on a network or cloud round trip.</w:t>
      </w:r>
    </w:p>
    <w:p w:rsidR="00000000" w:rsidDel="00000000" w:rsidP="00000000" w:rsidRDefault="00000000" w:rsidRPr="00000000" w14:paraId="00000019">
      <w:pPr>
        <w:spacing w:after="240" w:before="240" w:lineRule="auto"/>
        <w:rPr/>
      </w:pPr>
      <w:r w:rsidDel="00000000" w:rsidR="00000000" w:rsidRPr="00000000">
        <w:rPr>
          <w:rtl w:val="0"/>
        </w:rPr>
        <w:t xml:space="preserve">The backend does not need to participate synchronously in the safety-critical motion loop. Carry &amp; Go must continue autonomous operation for at least four hours during network loss, so obstacle avoidance, navigation, SEOM safety enforcement, and motion control must remain on the robot.</w:t>
      </w:r>
    </w:p>
    <w:p w:rsidR="00000000" w:rsidDel="00000000" w:rsidP="00000000" w:rsidRDefault="00000000" w:rsidRPr="00000000" w14:paraId="0000001A">
      <w:pPr>
        <w:spacing w:after="240" w:before="240" w:lineRule="auto"/>
        <w:rPr/>
      </w:pPr>
      <w:r w:rsidDel="00000000" w:rsidR="00000000" w:rsidRPr="00000000">
        <w:rPr>
          <w:rtl w:val="0"/>
        </w:rPr>
        <w:t xml:space="preserve">Backend functions such as telemetry ingestion, analytics, logging, and long-term storage can operate asynchronously because the robot does not need to wait for those results before continuing. Robot telemetry is streamed at 10 Hz, while the Control Center and companion app receive live updates through WebSockets. The Fleet API must maintain a p95 response time below 200 ms under 100 concurrent WebSocket connections, and live robot-to-screen telemetry must remain below one second.</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Carry &amp; Go should persist delivery tasks, robot telemetry, authentication events, SEOM safety events, battery status, position, navigation state, tray state, and AMDC sensor-drift data. Real-time telemetry is published at 10 Hz and written to Delta Lake via Kafka, with raw telemetry stored in a Bronze layer and aggregated metrics stored in Silver and Gold layers. Aggregated data includes delivery time, route efficiency, battery usage per delivery, SEOM event frequency, total deliveries, average delivery time, fleet utilization, and SEOM compliance rate.</w:t>
      </w:r>
    </w:p>
    <w:p w:rsidR="00000000" w:rsidDel="00000000" w:rsidP="00000000" w:rsidRDefault="00000000" w:rsidRPr="00000000" w14:paraId="0000001D">
      <w:pPr>
        <w:spacing w:after="240" w:before="240" w:lineRule="auto"/>
        <w:rPr/>
      </w:pPr>
      <w:r w:rsidDel="00000000" w:rsidR="00000000" w:rsidRPr="00000000">
        <w:rPr>
          <w:rtl w:val="0"/>
        </w:rPr>
        <w:t xml:space="preserve">The SEOM safety audit log should also be persisted as an append-only record protected by a cryptographic hash chain so that safety events cannot be silently altered. Real-time robot state such as position, battery level, and current task can be maintained in Redis for fast access, while PostgreSQL stores persistent application data and Delta Lake stores telemetry and analytics history.</w:t>
      </w:r>
    </w:p>
    <w:p w:rsidR="00000000" w:rsidDel="00000000" w:rsidP="00000000" w:rsidRDefault="00000000" w:rsidRPr="00000000" w14:paraId="0000001E">
      <w:pPr>
        <w:spacing w:after="240" w:before="240" w:lineRule="auto"/>
        <w:rPr/>
      </w:pPr>
      <w:r w:rsidDel="00000000" w:rsidR="00000000" w:rsidRPr="00000000">
        <w:rPr>
          <w:rtl w:val="0"/>
        </w:rPr>
        <w:t xml:space="preserve">Privacy-sensitive data should be minimized. Scrub personally identifiable information before telemetry enters the persistent Bronze layer, and prohibit video recording in private rooms. Use face and fingerprint authentication only for matching, and do not retain them after authentication.</w:t>
      </w:r>
    </w:p>
    <w:p w:rsidR="00000000" w:rsidDel="00000000" w:rsidP="00000000" w:rsidRDefault="00000000" w:rsidRPr="00000000" w14:paraId="0000001F">
      <w:pPr>
        <w:spacing w:after="240" w:before="240" w:lineRule="auto"/>
        <w:rPr/>
      </w:pPr>
      <w:r w:rsidDel="00000000" w:rsidR="00000000" w:rsidRPr="00000000">
        <w:rPr>
          <w:rtl w:val="0"/>
        </w:rPr>
        <w:t xml:space="preserve">Continuous raw RGB or depth video does not need to be persisted for normal operation. The system should retain structured telemetry, detections, events, audit records, and aggregated fleet state rather than continuously storing raw camera streams. An exact retention duration is not specified, so deployment policy and regulatory requirements must define the retention period for telemetry, delivery history, and audit logs.</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Carry &amp; Go is consumed by four main client types: the robot itself, the Control Center operator dashboard, the companion mobile application, and external property or enterprise systems.</w:t>
      </w:r>
    </w:p>
    <w:p w:rsidR="00000000" w:rsidDel="00000000" w:rsidP="00000000" w:rsidRDefault="00000000" w:rsidRPr="00000000" w14:paraId="00000023">
      <w:pPr>
        <w:spacing w:after="240" w:before="240" w:lineRule="auto"/>
        <w:rPr/>
      </w:pPr>
      <w:r w:rsidDel="00000000" w:rsidR="00000000" w:rsidRPr="00000000">
        <w:rPr>
          <w:rtl w:val="0"/>
        </w:rPr>
        <w:t xml:space="preserve">The on-robot client publishes telemetry to the Fleet API through MQTT at 10 Hz. The telemetry includes position, velocity, battery level, tray state, navigation status, and SEOM events. MQTT uses mutual TLS, and the backend forwards live robot state to other clients through WebSockets.</w:t>
      </w:r>
    </w:p>
    <w:p w:rsidR="00000000" w:rsidDel="00000000" w:rsidP="00000000" w:rsidRDefault="00000000" w:rsidRPr="00000000" w14:paraId="00000024">
      <w:pPr>
        <w:spacing w:after="240" w:before="240" w:lineRule="auto"/>
        <w:rPr/>
      </w:pPr>
      <w:r w:rsidDel="00000000" w:rsidR="00000000" w:rsidRPr="00000000">
        <w:rPr>
          <w:rtl w:val="0"/>
        </w:rPr>
        <w:t xml:space="preserve">The Control Center dashboard consumes real-time robot telemetry through a WebSocket connection. It displays robot positions, delivery state, battery level, safety events, task queues, and other fleet information. The system receives robot positions at 10 Hz and can throttle them for display.</w:t>
      </w:r>
    </w:p>
    <w:p w:rsidR="00000000" w:rsidDel="00000000" w:rsidP="00000000" w:rsidRDefault="00000000" w:rsidRPr="00000000" w14:paraId="00000025">
      <w:pPr>
        <w:spacing w:after="240" w:before="240" w:lineRule="auto"/>
        <w:rPr/>
      </w:pPr>
      <w:r w:rsidDel="00000000" w:rsidR="00000000" w:rsidRPr="00000000">
        <w:rPr>
          <w:rtl w:val="0"/>
        </w:rPr>
        <w:t xml:space="preserve">The companion mobile application uses REST endpoints for actions such as viewing delivery status and interacting with a delivery, while WebSocket updates provide live robot position and state. The API contract is defined using OpenAPI 3.1, and live application updates use REST, WebSocket, and push-notification mechanisms.</w:t>
      </w:r>
    </w:p>
    <w:p w:rsidR="00000000" w:rsidDel="00000000" w:rsidP="00000000" w:rsidRDefault="00000000" w:rsidRPr="00000000" w14:paraId="00000026">
      <w:pPr>
        <w:spacing w:after="240" w:before="240" w:lineRule="auto"/>
        <w:rPr/>
      </w:pPr>
      <w:r w:rsidDel="00000000" w:rsidR="00000000" w:rsidRPr="00000000">
        <w:rPr>
          <w:rtl w:val="0"/>
        </w:rPr>
        <w:t xml:space="preserve">External systems such as hotel property-management systems and other enterprise applications integrate through REST APIs, webhooks, or specialized protocols. Elevator integration uses BACnet/IP rather than the normal application API.</w:t>
      </w:r>
    </w:p>
    <w:p w:rsidR="00000000" w:rsidDel="00000000" w:rsidP="00000000" w:rsidRDefault="00000000" w:rsidRPr="00000000" w14:paraId="00000027">
      <w:pPr>
        <w:spacing w:after="240" w:before="240" w:lineRule="auto"/>
        <w:rPr/>
      </w:pPr>
      <w:r w:rsidDel="00000000" w:rsidR="00000000" w:rsidRPr="00000000">
        <w:rPr>
          <w:rtl w:val="0"/>
        </w:rPr>
        <w:t xml:space="preserve">The resulting service contract should therefore use MQTT for robot-to-backend telemetry, REST for command and task APIs, WebSockets for real-time dashboard and app updates, and protocol-specific integrations such as BACnet/IP for building systems. The Fleet API acts as the central source of truth for robots, tasks, trays, authentication state, and delivery lifecycle state.</w:t>
      </w:r>
    </w:p>
    <w:p w:rsidR="00000000" w:rsidDel="00000000" w:rsidP="00000000" w:rsidRDefault="00000000" w:rsidRPr="00000000" w14:paraId="00000028">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