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Origami AI receives multimodal data from many robot platforms, including RGB-D camera data, LiDAR, IMU, thermal, audio, GPS, tactile, and other sensor streams. Sensor data is processed at its native rate; AMDC calibration runs at 100 Hz, and the PIC 2.0 compute cycle operates on a roughly 10 ms tick.</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Backend ingestion is designed for large fleets. The fleet event bus supports up to 50,000 events per second, while sampled camera frames, LiDAR point clouds, IMU, GPS, and other telemetry can be written to the data lake. Exact MB/s cannot be stated because Origami AI supports different robot platforms with different cameras, sensors, frame rates, and compression formats.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Origami AI uses both synchronous and asynchronous processing. Safety-critical decisions are synchronous and performed at the edge: AMDC takes about 2 ms, STUM 1 ms, SEOM 0.5 ms, and local GRPO policy inference approximately 5–15 ms. These functions cannot depend on the network.</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Cloud functions such as complex planning, fleet coordination, training, analytics, and report generation can be asynchronous or tolerate higher latency. The full PIC 2.0 pipeline averages 142 ms and is designed to remain under 200 ms. Priority cloud inference has a &lt;50 ms SLA.</w:t>
      </w:r>
    </w:p>
    <w:p w:rsidR="00000000" w:rsidDel="00000000" w:rsidP="00000000" w:rsidRDefault="00000000" w:rsidRPr="00000000" w14:paraId="00000005">
      <w:pPr>
        <w:rPr>
          <w:sz w:val="24"/>
          <w:szCs w:val="24"/>
        </w:rPr>
      </w:pPr>
      <w:r w:rsidDel="00000000" w:rsidR="00000000" w:rsidRPr="00000000">
        <w:rPr>
          <w:sz w:val="24"/>
          <w:szCs w:val="24"/>
          <w:rtl w:val="0"/>
        </w:rPr>
        <w:t xml:space="preserve">A suitable p95 target is &lt;200 ms for interactive backend requests, with &lt;50 ms for priority inference, because safety-critical actions themselves remain on the robot.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Origami AI stores raw telemetry, validated detection events, fleet coordination history, model-calibration history, training data, analytics, and SEOM safety audit records. Raw robot telemetry, including sampled camera frames and LiDAR, has a 30-day default retention, while validated detection events have a 90-day default retention.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Fleet coordination logs are also retained for 30 days. SEOM audit records are tamper-evident and may be retained for 7 years when associated with an incident.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Privacy requirements depend on the deployment vertical. The platform supports GDPR data minimisation and deletion, tenant isolation, and biometric match-and-forget so raw biometric templates are not stored after matching.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Origami AI is mainly used by robot operators, fleet managers, enterprise administrators, developers, and third-party robot manufacturers.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Operators and fleet managers use the Origami Dashboard to monitor robot status, alerts, missions, analytics, and compliance. Developers use the Inference API and AI Maker to build custom skills and integrations, while robot manufacturers use Robot Maker to integrate the PIC 2.0 stack into their own hardware.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requires REST/OpenAPI for commands and inference requests, WebSockets for real-time fleet updates and alerts, gRPC/mTLS for robot-cloud communication, and role-based access for different user types.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hardest backend problem is supporting many different robot types and fleets through one shared platform while maintaining low latency, safety, and consistent state.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Origami AI must ingest high-volume telemetry, coordinate multiple robots, serve AI models, distribute OTA updates, maintain audit logs, and support different verticals such as healthcare, education, logistics, and security without mixing tenant or privacy requirements.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backend therefore has to scale horizontally while keeping real-time fleet state synchronized and allowing each robot to continue operating safely if the cloud becomes unavailable.</w:t>
      </w:r>
    </w:p>
    <w:p w:rsidR="00000000" w:rsidDel="00000000" w:rsidP="00000000" w:rsidRDefault="00000000" w:rsidRPr="00000000" w14:paraId="0000000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