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Sentinel Prime AI produces high-rate multimodal security data from cameras, thermal imaging, LiDAR, audio, radar, GPS, and other sensors. The primary PTZ camera records 4K at 30 fps, the wide-angle camera records 1080p at 15 fps, the thermal camera produces 640×480 at 30 fps, and LiDAR produces a 3D point cloud at 10 Hz. The five-model detection ensemble evaluates all 27 detection types at 6 Hz.</w:t>
      </w:r>
    </w:p>
    <w:p w:rsidR="00000000" w:rsidDel="00000000" w:rsidP="00000000" w:rsidRDefault="00000000" w:rsidRPr="00000000" w14:paraId="00000002">
      <w:pPr>
        <w:spacing w:after="240" w:before="240" w:lineRule="auto"/>
        <w:rPr/>
      </w:pPr>
      <w:r w:rsidDel="00000000" w:rsidR="00000000" w:rsidRPr="00000000">
        <w:rPr>
          <w:rtl w:val="0"/>
        </w:rPr>
        <w:t xml:space="preserve">Most raw sensor processing occurs locally on the Jetson AGX Orin. Backend traffic consists mainly of telemetry, detections, alerts, and evidence packages. Traffic can become bursty during an incident because the system may upload a 4K evidence clip, thermal data, LiDAR data, acoustic evidence, and metadata at once. Exact MB/s cannot be calculated because video encoding and serialized frame sizes are not specified.</w:t>
      </w:r>
    </w:p>
    <w:p w:rsidR="00000000" w:rsidDel="00000000" w:rsidP="00000000" w:rsidRDefault="00000000" w:rsidRPr="00000000" w14:paraId="00000003">
      <w:pPr>
        <w:spacing w:after="240" w:before="240" w:lineRule="auto"/>
        <w:rPr/>
      </w:pPr>
      <w:r w:rsidDel="00000000" w:rsidR="00000000" w:rsidRPr="00000000">
        <w:rPr>
          <w:rtl w:val="0"/>
        </w:rPr>
        <w:t xml:space="preserve">Sentinel requires synchronous inference for threat detection because security decisions must be made immediately at the edge. The five-model ensemble must classify threats at 6 Hz with less than 200 ms end-to-end inference latency, and safety-critical detection continues even when the network is unavailable.</w:t>
      </w:r>
    </w:p>
    <w:p w:rsidR="00000000" w:rsidDel="00000000" w:rsidP="00000000" w:rsidRDefault="00000000" w:rsidRPr="00000000" w14:paraId="00000004">
      <w:pPr>
        <w:spacing w:after="240" w:before="240" w:lineRule="auto"/>
        <w:rPr/>
      </w:pPr>
      <w:r w:rsidDel="00000000" w:rsidR="00000000" w:rsidRPr="00000000">
        <w:rPr>
          <w:rtl w:val="0"/>
        </w:rPr>
        <w:t xml:space="preserve">Cloud storage, analytics, compliance reporting, and long-term evidence processing can be asynchronous. For backend delivery, a suitable p95 target is &lt;200 ms, since real-time WebSocket alerts are tested to remain below 200 ms under concurrent load.</w:t>
      </w:r>
    </w:p>
    <w:p w:rsidR="00000000" w:rsidDel="00000000" w:rsidP="00000000" w:rsidRDefault="00000000" w:rsidRPr="00000000" w14:paraId="00000005">
      <w:pPr>
        <w:spacing w:after="240" w:before="240" w:lineRule="auto"/>
        <w:rPr/>
      </w:pPr>
      <w:r w:rsidDel="00000000" w:rsidR="00000000" w:rsidRPr="00000000">
        <w:rPr>
          <w:rtl w:val="0"/>
        </w:rPr>
        <w:t xml:space="preserve">Sentinel should persist detections, alerts, audit events, telemetry, and incident evidence. Incident evidence includes video clips, thermal imagery, LiDAR data, acoustic evidence, timestamps, confidence values, and integrity hashes. Evidence is stored locally and replicated to backend storage with SHA-256 verification.</w:t>
      </w:r>
    </w:p>
    <w:p w:rsidR="00000000" w:rsidDel="00000000" w:rsidP="00000000" w:rsidRDefault="00000000" w:rsidRPr="00000000" w14:paraId="00000006">
      <w:pPr>
        <w:spacing w:after="240" w:before="240" w:lineRule="auto"/>
        <w:rPr/>
      </w:pPr>
      <w:r w:rsidDel="00000000" w:rsidR="00000000" w:rsidRPr="00000000">
        <w:rPr>
          <w:rtl w:val="0"/>
        </w:rPr>
        <w:t xml:space="preserve">Retention depends on the data type: incident evidence is retained for 7 years, while non-incident footage is retained for 90 days. GDPR erasure requests must be processed within 24 hours where applicable. Telemetry remains in hot storage for 90 days before archival to cold storage.</w:t>
      </w:r>
    </w:p>
    <w:p w:rsidR="00000000" w:rsidDel="00000000" w:rsidP="00000000" w:rsidRDefault="00000000" w:rsidRPr="00000000" w14:paraId="00000007">
      <w:pPr>
        <w:spacing w:after="240" w:before="240" w:lineRule="auto"/>
        <w:rPr/>
      </w:pPr>
      <w:r w:rsidDel="00000000" w:rsidR="00000000" w:rsidRPr="00000000">
        <w:rPr>
          <w:rtl w:val="0"/>
        </w:rPr>
        <w:t xml:space="preserve">Privacy is especially important for face recognition and surveillance footage. Biometric processing must follow consent requirements and support match-and-forget behavior, while configured privacy zones limit recording and PTZ tracking.</w:t>
      </w:r>
    </w:p>
    <w:p w:rsidR="00000000" w:rsidDel="00000000" w:rsidP="00000000" w:rsidRDefault="00000000" w:rsidRPr="00000000" w14:paraId="00000008">
      <w:pPr>
        <w:spacing w:after="240" w:before="240" w:lineRule="auto"/>
        <w:rPr/>
      </w:pPr>
      <w:r w:rsidDel="00000000" w:rsidR="00000000" w:rsidRPr="00000000">
        <w:rPr>
          <w:rtl w:val="0"/>
        </w:rPr>
        <w:t xml:space="preserve">Security operations center operators, security supervisors, guards, and security administrators mainly use Sentinel. Operators use the SOC dashboard to monitor live cameras, receive alerts, control PTZ cameras, and review evidence. Supervisors use the mobile app to receive critical alerts, inspect evidence, and dispatch guards. Administrators manage watchlists, system configuration, audit records, and security policies.</w:t>
      </w:r>
    </w:p>
    <w:p w:rsidR="00000000" w:rsidDel="00000000" w:rsidP="00000000" w:rsidRDefault="00000000" w:rsidRPr="00000000" w14:paraId="00000009">
      <w:pPr>
        <w:spacing w:after="240" w:before="240" w:lineRule="auto"/>
        <w:rPr/>
      </w:pPr>
      <w:r w:rsidDel="00000000" w:rsidR="00000000" w:rsidRPr="00000000">
        <w:rPr>
          <w:rtl w:val="0"/>
        </w:rPr>
        <w:t xml:space="preserve">The service also connects to enterprise security systems such as VMS, access-control, and SIEM platforms. This requires WebSockets for real-time alerts, REST/OpenAPI for commands and management, RTSP/ONVIF for video integration, and machine-to-machine APIs for systems such as Splunk and Milestone.</w:t>
      </w:r>
    </w:p>
    <w:p w:rsidR="00000000" w:rsidDel="00000000" w:rsidP="00000000" w:rsidRDefault="00000000" w:rsidRPr="00000000" w14:paraId="0000000A">
      <w:pPr>
        <w:spacing w:after="240" w:before="240" w:lineRule="auto"/>
        <w:rPr/>
      </w:pPr>
      <w:r w:rsidDel="00000000" w:rsidR="00000000" w:rsidRPr="00000000">
        <w:rPr>
          <w:rtl w:val="0"/>
        </w:rPr>
        <w:t xml:space="preserve">The primary backend challenge is reliably processing and distributing security incidents in real time while preserving evidence integrity.</w:t>
      </w:r>
    </w:p>
    <w:p w:rsidR="00000000" w:rsidDel="00000000" w:rsidP="00000000" w:rsidRDefault="00000000" w:rsidRPr="00000000" w14:paraId="0000000B">
      <w:pPr>
        <w:spacing w:after="240" w:before="240" w:lineRule="auto"/>
        <w:rPr/>
      </w:pPr>
      <w:r w:rsidDel="00000000" w:rsidR="00000000" w:rsidRPr="00000000">
        <w:rPr>
          <w:rtl w:val="0"/>
        </w:rPr>
        <w:t xml:space="preserve">A single detection may need to reach the SOC dashboard, mobile supervisor app, VMS, SIEM, and evidence store almost simultaneously. The backend must handle real-time alerts with low latency while also storing large evidence packages, enforcing retention policies, maintaining immutable audit records, and supporting multiple Sentinel units without losing or duplicating events. The system therefore needs an event-driven backend that separates the fast alert path from slower evidence storage and analytics processing.</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