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Fari produces a mixture of high-rate perception data, continuous health telemetry, environmental measurements, audio, interaction events, and clinical records. The front RGB-D camera is specified as 1080p plus depth and can operate at 60 fps for facial and expression analysis, while the implementation plan uses RGB and depth ROS2 streams at 30 Hz. The microphone array produces raw audio at 16 kHz, while temperature, SpO2, heart rate, and respiratory measurements are generally published at 1 Hz. Tactile and proximity sensors operate at 10 Hz.</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backend-facing health telemetry stream is designed around a 10 Hz ingestion rate per Fari unit. The system is load-tested for 12 simultaneous Fari units, or 120 telemetry frames per second in aggregate, without dropping frames. Real-time unit positions are streamed to clients at 1 Hz, while urgent health alerts may be pushed within approximately 100 ms.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Jetson Orin NX primarily processes raw image and depth streams rather than continuously transmitting them to the cloud. Functions such as face recognition, emotion recognition, fall detection, gaze detection, and speech recognition run locally, which prevents the high-bandwidth camera feeds from becoming the normal backend payload.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 exact payload size in MB/s cannot be determined because the image compression format, depth encoding, audio sample width, and serialized telemetry-frame size are not specified. The expected backend workload is therefore a relatively small structured 10 Hz health telemetry stream rather than continuous raw 1080p video. Normal traffic is steady, while bursts are most likely during urgent health events, caregiver alerts, EHR synchronization, or consented telemedicine sessions.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Fari requires synchronous inference for safety-critical health and care decisions. Fall detection, proximity safety, emotion processing, emergency detection, and other safety functions run directly on the Jetson Orin NX so that the robot does not depend on a cloud response before taking action. Edge inference must complete in under 200 ms, and critical safety functions must continue even if cloud connectivity is unavailable.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Fall detection is especially latency-sensitive. The platform requires greater than 95% fall-detection accuracy with less than two seconds from the event to caregiver notification. The caregiver dashboard must display vital trends and alerts within two seconds of the originating sensor event, while mobile push alerts must arrive within five seconds.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Backend processing such as long-term telemetry storage, analytics, FHIR synchronization, historical trend analysis, and EHR export can operate asynchronously because Fari does not need to wait for those operations before continuing local monitoring. However, alert routing is near-real-time: WebSocket alerts are designed for approximately 100 ms delivery, and the Care API is required to maintain P99 below 200 ms.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 suitable p95 backend latency target is &lt;200 ms. This is supported by the stricter requirement that P99 remain below 200 ms, meaning the p95 should also remain below that threshold under the same load. Safety-critical AI inference should also remain below 200 ms locally, with emergency alert delivery governed by the stricter end-to-end requirements of &lt;2 seconds for falls and &lt;5 seconds for mobile notification.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Fari should persist structured health observations, medication events, safety alerts, activity records, SEOM audit events, resident state, and clinically relevant trends. Vital observations are represented as HL7 FHIR R4 resources and synchronized with the facility EHR. The backend telemetry pipeline ingests sensor frames at 10 Hz, writes raw structured telemetry to a Delta Lake Bronze layer, and transforms clinically relevant information into FHIR resources for the Gold layer. Raw Kafka telemetry is retained for seven days, while FHIR data is retained for 90 days.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application-level retention policy is 90 days for vital-sign data, 30 days for activity data, and 0 days for video. Raw video frames used for functions such as rPPG are processed and discarded rather than stored. Fari also includes a 64 GB encrypted local health-data buffer that can retain about 30 days of health data when cloud connectivity is unavailable.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Privacy requirements are much stricter than for a robot operating in a public commercial space because Fari may operate in bedrooms, care rooms, and private residences while processing health information. Health data is treated as GDPR Article 9 special-category data, encrypted at rest using AES-256-GCM, and shared only when a valid consent record permits access. A physical hardware shutter protects camera use, and private situations such as bathing or dressing must not be recorded.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storage strategy should therefore retain structured clinical observations, alerts, medication history, activity summaries, and immutable safety audit records, while minimizing or eliminating raw visual data. Video should have zero routine retention unless it is part of an explicitly consented function such as a telemedicine consultation.</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Fari is primarily used by </w:t>
      </w:r>
      <w:r w:rsidDel="00000000" w:rsidR="00000000" w:rsidRPr="00000000">
        <w:rPr>
          <w:b w:val="1"/>
          <w:bCs w:val="1"/>
          <w:sz w:val="24"/>
          <w:szCs w:val="24"/>
          <w:rtl w:val="0"/>
        </w:rPr>
        <w:t xml:space="preserve">elderly residents, caregivers/nurses, family members, and clinicians</w:t>
      </w:r>
      <w:r w:rsidDel="00000000" w:rsidR="00000000" w:rsidRPr="00000000">
        <w:rPr>
          <w:sz w:val="24"/>
          <w:szCs w:val="24"/>
          <w:rtl w:val="0"/>
        </w:rPr>
        <w:t xml:space="preserve">. Each group interacts with the platform differently.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Residents interact directly with the robot through its touchscreen, voice interface, camera-based interaction, medication reminders, health checks, and emergency features. Caregivers and nurses use the web-based caregiver dashboard and mobile app to monitor vital signs, receive fall or health alerts, review medication compliance, and remotely manage Fari. Family members use a consent-gated family portal for wellbeing summaries, activity photos, and video calls. Clinicians may access structured health information through the facility’s EHR system and can use Fari for telemedicine and remote vital monitoring.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This client shape means the service must support several different interfaces and access levels. Residents need simple, immediate on-device interaction; caregivers need real-time dashboards and alerts; family members need limited, consent-controlled access; and clinicians need structured clinical data through HL7 FHIR R4. The backend contract therefore needs strong role-based access control, consent enforcement, real-time alert delivery, and standardized clinical data formats.</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Fari's hardest backend problem is building a low-latency, privacy-preserving clinical event platform that keeps resident health state consistent across the robot, caregiver applications, and external EHR systems while remaining safe during network failure.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backend owns the HL7 FHIR R4 clinical data layer, clinical event processing, caregiver alert routing, SEOM audit storage, and EHR integration, while simultaneously meeting GDPR Article 9, HIPAA, and healthcare security requirements. Unlike a normal telemetry backend, errors can have clinical consequences: a delayed fall alert, duplicate medication event, stale vital measurement, incorrect patient mapping, or lost consent state could directly affect resident care.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This creates competing requirements. Fari generates continuous telemetry at 10 Hz, but urgent events must bypass normal analytical processing and reach caregivers quickly. Health observations must be converted into valid FHIR resources, synchronized across multiple EHR vendors, encrypted and consent-gated, and retained under different data-life-cycle policies. At the same time, the robot must continue critical fall detection, medication safety, and emergency functions locally when connectivity is unavailable.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backend should therefore be designed as an edge-first, event-driven clinical system. Safety decisions remain on the robot, urgent events receive a low-latency alert path, structured telemetry flows asynchronously into long-term storage and FHIR records, and cloud/EHR synchronization is designed to recover safely from temporary outages without duplicating or losing clinically important events.</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