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6.9377990430621"/>
        <w:gridCol w:w="4692.44019138756"/>
        <w:gridCol w:w="2990.622009569378"/>
        <w:tblGridChange w:id="0">
          <w:tblGrid>
            <w:gridCol w:w="1676.9377990430621"/>
            <w:gridCol w:w="4692.44019138756"/>
            <w:gridCol w:w="2990.6220095693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Bounding 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Normalized top-left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x/y/w/h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Resolution-independent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Timezone-aware UTC ISO-8601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Consistent across robots and servers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Float from 0 to 1, unrounded internally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Preserves precision for downstream decisions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"unknown"</w:t>
            </w:r>
            <w:r w:rsidDel="00000000" w:rsidR="00000000" w:rsidRPr="00000000">
              <w:rPr>
                <w:rtl w:val="0"/>
              </w:rPr>
              <w:t xml:space="preserve"> when the classifier cannot identify a supported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Avoids inventing a recognized category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Preserve the score and mark or filter detections according to a documented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consumers to understand uncertainty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Nullable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every detection belongs to a tracked object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