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REPORT OF THE STANDING COMMITTEE FOR PRE-QUALIFICATION REQUIREMENT</w:t>
      </w:r>
    </w:p>
    <w:p/>
    <w:tbl>
      <w:tblPr>
        <w:tblStyle w:val="TableGrid"/>
        <w:tblW w:type="auto" w:w="0"/>
        <w:tblLook w:firstColumn="1" w:firstRow="1" w:lastColumn="0" w:lastRow="0" w:noHBand="0" w:noVBand="1" w:val="04A0"/>
      </w:tblPr>
      <w:tblGrid>
        <w:gridCol w:w="576"/>
        <w:gridCol w:w="2880"/>
        <w:gridCol w:w="288"/>
        <w:gridCol w:w="6480"/>
      </w:tblGrid>
      <w:tr>
        <w:tc>
          <w:tcPr>
            <w:tcW w:type="dxa" w:w="2160"/>
          </w:tcPr>
          <w:p>
            <w:r>
              <w:t>1.</w:t>
            </w:r>
          </w:p>
        </w:tc>
        <w:tc>
          <w:tcPr>
            <w:tcW w:type="dxa" w:w="2160"/>
          </w:tcPr>
          <w:p>
            <w:r>
              <w:t>Name of the work</w:t>
            </w:r>
          </w:p>
        </w:tc>
        <w:tc>
          <w:tcPr>
            <w:tcW w:type="dxa" w:w="2160"/>
          </w:tcPr>
          <w:p>
            <w:r>
              <w:t>:</w:t>
            </w:r>
          </w:p>
        </w:tc>
        <w:tc>
          <w:tcPr>
            <w:tcW w:type="dxa" w:w="2160"/>
          </w:tcPr>
          <w:p>
            <w:r>
              <w:t>bin</w:t>
            </w:r>
          </w:p>
        </w:tc>
      </w:tr>
      <w:tr>
        <w:tc>
          <w:tcPr>
            <w:tcW w:type="dxa" w:w="2160"/>
          </w:tcPr>
          <w:p>
            <w:r>
              <w:t>2</w:t>
            </w:r>
          </w:p>
        </w:tc>
        <w:tc>
          <w:tcPr>
            <w:tcW w:type="dxa" w:w="2160"/>
          </w:tcPr>
          <w:p>
            <w:r>
              <w:t>Period of work</w:t>
            </w:r>
          </w:p>
        </w:tc>
        <w:tc>
          <w:tcPr>
            <w:tcW w:type="dxa" w:w="2160"/>
          </w:tcPr>
          <w:p>
            <w:r>
              <w:t>:</w:t>
            </w:r>
          </w:p>
        </w:tc>
        <w:tc>
          <w:tcPr>
            <w:tcW w:type="dxa" w:w="2160"/>
          </w:tcPr>
          <w:p>
            <w:r>
              <w:t>24</w:t>
            </w:r>
          </w:p>
        </w:tc>
      </w:tr>
      <w:tr>
        <w:tc>
          <w:tcPr>
            <w:tcW w:type="dxa" w:w="2160"/>
          </w:tcPr>
          <w:p>
            <w:r>
              <w:t>3.</w:t>
            </w:r>
          </w:p>
        </w:tc>
        <w:tc>
          <w:tcPr>
            <w:tcW w:type="dxa" w:w="2160"/>
          </w:tcPr>
          <w:p>
            <w:r>
              <w:t>Nature of work</w:t>
            </w:r>
          </w:p>
        </w:tc>
        <w:tc>
          <w:tcPr>
            <w:tcW w:type="dxa" w:w="2160"/>
          </w:tcPr>
          <w:p>
            <w:r>
              <w:t>:</w:t>
            </w:r>
          </w:p>
        </w:tc>
        <w:tc>
          <w:tcPr>
            <w:tcW w:type="dxa" w:w="2160"/>
          </w:tcPr>
          <w:p>
            <w:r>
              <w:t>AMC</w:t>
            </w:r>
          </w:p>
        </w:tc>
      </w:tr>
      <w:tr>
        <w:tc>
          <w:tcPr>
            <w:tcW w:type="dxa" w:w="2160"/>
          </w:tcPr>
          <w:p>
            <w:r>
              <w:t>4.</w:t>
            </w:r>
          </w:p>
        </w:tc>
        <w:tc>
          <w:tcPr>
            <w:tcW w:type="dxa" w:w="2160"/>
          </w:tcPr>
          <w:p>
            <w:r>
              <w:t>Estimate Value (Excl. GST)</w:t>
            </w:r>
          </w:p>
        </w:tc>
        <w:tc>
          <w:tcPr>
            <w:tcW w:type="dxa" w:w="2160"/>
          </w:tcPr>
          <w:p>
            <w:r>
              <w:t>:</w:t>
            </w:r>
          </w:p>
        </w:tc>
        <w:tc>
          <w:tcPr>
            <w:tcW w:type="dxa" w:w="2160"/>
          </w:tcPr>
          <w:p>
            <w:r>
              <w:t>50</w:t>
            </w:r>
          </w:p>
        </w:tc>
      </w:tr>
      <w:tr>
        <w:tc>
          <w:tcPr>
            <w:tcW w:type="dxa" w:w="2160"/>
          </w:tcPr>
          <w:p>
            <w:r>
              <w:t>5</w:t>
            </w:r>
          </w:p>
        </w:tc>
        <w:tc>
          <w:tcPr>
            <w:tcW w:type="dxa" w:w="2160"/>
          </w:tcPr>
          <w:p>
            <w:r>
              <w:t>Proposed PQR</w:t>
            </w:r>
          </w:p>
        </w:tc>
        <w:tc>
          <w:tcPr>
            <w:tcW w:type="dxa" w:w="2160"/>
          </w:tcPr>
          <w:p>
            <w:r>
              <w:t>:</w:t>
            </w:r>
          </w:p>
        </w:tc>
        <w:tc>
          <w:tcPr>
            <w:tcW w:type="dxa" w:w="2160"/>
          </w:tcPr>
          <w:p>
            <w:r/>
            <w:r>
              <w:t xml:space="preserve">1. </w:t>
            </w:r>
            <w:r>
              <w:rPr>
                <w:b/>
              </w:rPr>
              <w:t>Technical requirements</w:t>
            </w:r>
            <w:r>
              <w:br/>
            </w:r>
            <w:r>
              <w:t xml:space="preserve">    a. The bidder should have executed Construction, Testing &amp; Commissioning works in Electrical systems/equipments OR Maintenance/Operation &amp; Maintenance works in Electrical systems/equipments.</w:t>
              <w:br/>
            </w:r>
            <w:r>
              <w:t xml:space="preserve">    b. The above works must include a minimum of any two of:</w:t>
              <w:br/>
            </w:r>
            <w:r>
              <w:t xml:space="preserve">       a) HT Transformers (11KV &amp; above) OR 200 MW Generator and Auxiliaries</w:t>
              <w:br/>
            </w:r>
            <w:r>
              <w:t xml:space="preserve">       b) HT (3.3KV or above) OR HT &amp; LT (0.4KV) rotating Electrical machines</w:t>
              <w:br/>
            </w:r>
            <w:r>
              <w:t xml:space="preserve">       c) HT (3.3KV or above) OR HT &amp; LT (0.4KV) Switchgears</w:t>
              <w:br/>
            </w:r>
            <w:r>
              <w:t xml:space="preserve">       d) Switchyard equipment of 220KV or above</w:t>
              <w:br/>
            </w:r>
            <w:r>
              <w:t xml:space="preserve">    c. Works executed in the name of bidder/partner, in major process industries (e.g., Thermal Power Station, Fertilizer Plant, Petrochemical, Oil, Cement, Steel, etc.) in Govt/Quasi-Govt/PSU/PSE/Public Ltd/Independent Power Plant within last 7 years before tender opening date</w:t>
              <w:br/>
            </w:r>
            <w:r>
              <w:t xml:space="preserve">    d. Single agreement costing not less than 30% of Est. Value for BMC or 40% of Est. Value for AMC, rounded to nearest thousand (lower side)</w:t>
              <w:br/>
            </w:r>
            <w:r>
              <w:t xml:space="preserve">    e. Single agreement costing not less than 15% of Est. Value for BMC or 20% for AMC, AND any other Electrical Maintenance work for a minimum value of 30% (BMC) or 40% (AMC), all rounded to nearest thousand (lower side)</w:t>
              <w:br/>
            </w:r>
            <w:r>
              <w:t xml:space="preserve">    f. Valid Electrical License (ESA) issued by State Electrical Licensing Board. If under renewal, documentary proof to be submitted. Valid license required within 30 days of LOA. License must be valid for full contract period.</w:t>
              <w:br/>
            </w:r>
            <w:r>
              <w:t xml:space="preserve">    g. Any Electrical Work / Maintenance done in last 7 years in Govt/Quasi-Govt/PSU/PSE/Public Ltd, as per one of:</w:t>
              <w:br/>
            </w:r>
            <w:r>
              <w:t xml:space="preserve">       a) 1 work ≥ 80% of tender value</w:t>
              <w:br/>
            </w:r>
            <w:r>
              <w:t xml:space="preserve">       b) 2 works each ≥ 50% of tender value</w:t>
              <w:br/>
            </w:r>
            <w:r>
              <w:t xml:space="preserve">       c) 3 works each ≥ 40% of tender value</w:t>
              <w:br/>
            </w:r>
            <w:r>
              <w:t xml:space="preserve">    h. Electrical License (ESA / EA / ESB / EB etc. as specified in tender) issued by Electrical Licensing Authority. If under renewal, submit documentary proof with bid.</w:t>
              <w:br/>
            </w:r>
            <w:r>
              <w:t xml:space="preserve">2. </w:t>
            </w:r>
            <w:r>
              <w:rPr>
                <w:b/>
              </w:rPr>
              <w:t>Financial Requirements:</w:t>
            </w:r>
            <w:r>
              <w:br/>
            </w:r>
            <w:r>
              <w:t xml:space="preserve">    a. Average Annual Turnover of the bidder in last 3 financial years immediately preceding the scheduled tender opening date should not be less than 30% of the annualized tender value, rounded to lowest thousands.</w:t>
              <w:br/>
            </w:r>
            <w:r>
              <w:t xml:space="preserve">    b. Bidder must have positive Net Worth as per the latest standalone audited financial statement.</w:t>
              <w:br/>
            </w:r>
            <w:r>
              <w:t xml:space="preserve">    c. Copies of standalone audited financial statement (Profit &amp; Loss account and Balance Sheet) for three financial years immediately preceding the original scheduled tender opening date are to be furnished. (No financial criteria for estimates &lt; Rs.50 lakhs.)</w:t>
              <w:br/>
            </w:r>
            <w:r>
              <w:t xml:space="preserve">3. </w:t>
            </w:r>
            <w:r>
              <w:rPr>
                <w:b/>
              </w:rPr>
              <w:t>Note:</w:t>
            </w:r>
            <w:r>
              <w:br/>
            </w:r>
            <w:r>
              <w:t xml:space="preserve">    a. </w:t>
            </w:r>
            <w:r>
              <w:rPr>
                <w:b/>
              </w:rPr>
              <w:t>Technical Requirements:</w:t>
            </w:r>
            <w:r>
              <w:br/>
            </w:r>
            <w:r>
              <w:t xml:space="preserve">        The following documents or relevant documentary evidences so as to meet the above stipulated PQR Conditions (1.a), (1.b), (1.c), (1.d), (1.e), (1.f), (1.g) &amp; (1.h) are to be furnished along with the bid without fail. Otherwise, the offer is liable for rejection.</w:t>
              <w:br/>
            </w:r>
            <w:r>
              <w:t xml:space="preserve">        Enclose copy for each relevant work.</w:t>
              <w:br/>
            </w:r>
            <w:r>
              <w:t xml:space="preserve">        Enclose copy of end-user execution/completion certificate/finalisation order with work name, LOA/agreement no., period, executed value.</w:t>
              <w:br/>
            </w:r>
            <w:r>
              <w:t xml:space="preserve">        Attested copy of valid license (Notary/Gazetted/CA), if under renewal attach proof.</w:t>
              <w:br/>
            </w:r>
            <w:r>
              <w:t xml:space="preserve">        Documentary evidences of work executed in Captive or Process steam power plants will not be considered for evaluation.</w:t>
              <w:br/>
            </w:r>
            <w:r>
              <w:t xml:space="preserve">        The bidder shall be a Proprietary firm/Partnership firm/ a firm (Private, public, Govt) registered under Company's act.</w:t>
              <w:br/>
            </w:r>
            <w:r>
              <w:t xml:space="preserve">        The bidder should meet the criteria specified in PQR Clause 1.a, 1.b, 1.c, 1.d, 1.e, 1.f, 1.g, 1.h, 2 or Clause 1.b,  1.b, 1.c, 1.d, 1.e, 1.f, 1.g, 1.h, 2.</w:t>
              <w:br/>
            </w:r>
            <w:r>
              <w:t xml:space="preserve">    b. </w:t>
            </w:r>
            <w:r>
              <w:rPr>
                <w:b/>
              </w:rPr>
              <w:t>Financial Requirements:</w:t>
            </w:r>
            <w:r>
              <w:br/>
            </w:r>
            <w:r>
              <w:t xml:space="preserve">        Copies of standalone audited financial statement (Profit &amp; Loss account and Balance Sheet) for three financial years immediately preceding the original scheduled tender opening date are to be furnished to meet the PQR mentioned in clause 2.a &amp; 2.b. Otherwise the offer is liable for rejection.</w:t>
              <w:br/>
            </w:r>
            <w:r>
              <w:t xml:space="preserve">        If &lt;3 years old:</w:t>
              <w:br/>
              <w:t>- 1 year financials: turnover/3</w:t>
              <w:br/>
              <w:t>- 2 years: both turnovers/3</w:t>
              <w:br/>
              <w:t>If current year under audit, use previous 3 FYs</w:t>
              <w:br/>
              <w:t>(Attach self-certificate if financials are under audit)</w:t>
              <w:br/>
            </w:r>
            <w:r>
              <w:t xml:space="preserve">        Turnover = Revenue from operation as per financial statement (excluding other income)</w:t>
              <w:br/>
            </w:r>
            <w:r>
              <w:t xml:space="preserve">        Paid-up Share Capital + Share Application Money Pending Allotment + Reserves – Accumulated Losses – Deferred Expenditure not written off; only reserves from profits &amp; securities premium; exclude revaluation, writeback, amalgamation</w:t>
              <w:br/>
            </w:r>
            <w:r>
              <w:t xml:space="preserve">        Net Worth = Total Assets – Total Liabilities</w:t>
              <w:br/>
            </w:r>
            <w:r>
              <w:t xml:space="preserve">        Multiple agreements may be considered with justification</w:t>
              <w:br/>
            </w:r>
            <w:r>
              <w:t xml:space="preserve">        All values exclude GST/Service Taxes</w:t>
              <w:br/>
            </w:r>
            <w:r>
              <w:t xml:space="preserve">        See partnership compliance/undertakings as per NTPL circular &amp; tender (experience OK for firm/partners, financials required for firm, partner giving experience must undertake not to withdraw, etc.)</w:t>
              <w:br/>
            </w:r>
          </w:p>
        </w:tc>
      </w:tr>
      <w:tr>
        <w:tc>
          <w:tcPr>
            <w:tcW w:type="dxa" w:w="2160"/>
          </w:tcPr>
          <w:p>
            <w:r>
              <w:t>6</w:t>
            </w:r>
          </w:p>
        </w:tc>
        <w:tc>
          <w:tcPr>
            <w:tcW w:type="dxa" w:w="2160"/>
          </w:tcPr>
          <w:p>
            <w:r>
              <w:t>Details of any similar work done earlier</w:t>
            </w:r>
          </w:p>
        </w:tc>
        <w:tc>
          <w:tcPr>
            <w:tcW w:type="dxa" w:w="2160"/>
          </w:tcPr>
          <w:p>
            <w:r>
              <w:t>:</w:t>
            </w:r>
          </w:p>
        </w:tc>
        <w:tc>
          <w:tcPr>
            <w:tcW w:type="dxa" w:w="2160"/>
          </w:tcPr>
          <w:p>
            <w:r/>
          </w:p>
        </w:tc>
      </w:tr>
      <w:tr>
        <w:tc>
          <w:tcPr>
            <w:tcW w:type="dxa" w:w="2160"/>
          </w:tcPr>
          <w:p>
            <w:r>
              <w:t>7</w:t>
            </w:r>
          </w:p>
        </w:tc>
        <w:tc>
          <w:tcPr>
            <w:tcW w:type="dxa" w:w="2160"/>
          </w:tcPr>
          <w:p>
            <w:r>
              <w:t>If yes to Sl. No. 6, any change contemplated and brought out the reasons for change</w:t>
            </w:r>
          </w:p>
        </w:tc>
        <w:tc>
          <w:tcPr>
            <w:tcW w:type="dxa" w:w="2160"/>
          </w:tcPr>
          <w:p>
            <w:r>
              <w:t>:</w:t>
            </w:r>
          </w:p>
        </w:tc>
        <w:tc>
          <w:tcPr>
            <w:tcW w:type="dxa" w:w="2160"/>
          </w:tcPr>
          <w:p>
            <w:r/>
          </w:p>
        </w:tc>
      </w:tr>
      <w:tr>
        <w:tc>
          <w:tcPr>
            <w:tcW w:type="dxa" w:w="2160"/>
          </w:tcPr>
          <w:p>
            <w:r>
              <w:t>8</w:t>
            </w:r>
          </w:p>
        </w:tc>
        <w:tc>
          <w:tcPr>
            <w:tcW w:type="dxa" w:w="2160"/>
          </w:tcPr>
          <w:p>
            <w:r>
              <w:t>Recommendation of PQR Committee</w:t>
              <w:br/>
              <w:t xml:space="preserve">       Reviewed and Recommended</w:t>
              <w:br/>
              <w:br/>
              <w:t xml:space="preserve">       Remarks Offered</w:t>
            </w:r>
          </w:p>
        </w:tc>
        <w:tc>
          <w:tcPr>
            <w:tcW w:type="dxa" w:w="2160"/>
          </w:tcPr>
          <w:p>
            <w:r>
              <w:t>:</w:t>
            </w:r>
          </w:p>
        </w:tc>
        <w:tc>
          <w:tcPr>
            <w:tcW w:type="dxa" w:w="2160"/>
          </w:tcPr>
          <w:p>
            <w:r>
              <w:t>Recommendation of PQR Committee</w:t>
              <w:br/>
              <w:t xml:space="preserve">       Reviewed and Recommended</w:t>
              <w:br/>
              <w:br/>
              <w:t xml:space="preserve">       Remarks Offered</w:t>
            </w:r>
          </w:p>
        </w:tc>
      </w:tr>
    </w:tbl>
    <w:p/>
    <w:p>
      <w:pPr>
        <w:jc w:val="center"/>
      </w:pPr>
      <w:r>
        <w:t>Deputy General Manager/BM</w:t>
        <w:tab/>
        <w:tab/>
        <w:t>Deputy General Manager/BM</w:t>
        <w:tab/>
        <w:tab/>
        <w:t>Deputy General Manager/BM</w:t>
        <w:tab/>
        <w:tab/>
        <w:t>Deputy General Manager/BM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