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left"/>
      </w:pPr>
      <w:r>
        <w:t>Documentación técnica de Aurea Video Hub</w:t>
      </w:r>
    </w:p>
    <w:p>
      <w:pPr>
        <w:spacing w:after="440"/>
      </w:pPr>
      <w:r>
        <w:rPr>
          <w:rFonts w:ascii="Aptos" w:hAnsi="Aptos"/>
          <w:color w:val="666666"/>
          <w:sz w:val="28"/>
        </w:rPr>
        <w:t>Arquitectura construcción seguridad despliegue y mantenimiento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1871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Documento</w:t>
            </w:r>
          </w:p>
        </w:tc>
        <w:tc>
          <w:tcPr>
            <w:tcW w:type="dxa" w:w="635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rPr>
                <w:rFonts w:ascii="Aptos" w:hAnsi="Aptos"/>
                <w:sz w:val="19"/>
              </w:rPr>
              <w:t>Documento de construcción del sistema</w:t>
            </w:r>
          </w:p>
        </w:tc>
      </w:tr>
      <w:tr>
        <w:tc>
          <w:tcPr>
            <w:tcW w:type="dxa" w:w="1871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Sistema</w:t>
            </w:r>
          </w:p>
        </w:tc>
        <w:tc>
          <w:tcPr>
            <w:tcW w:type="dxa" w:w="635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rPr>
                <w:rFonts w:ascii="Aptos" w:hAnsi="Aptos"/>
                <w:sz w:val="19"/>
              </w:rPr>
              <w:t>Aurea Video Hub</w:t>
            </w:r>
          </w:p>
        </w:tc>
      </w:tr>
      <w:tr>
        <w:tc>
          <w:tcPr>
            <w:tcW w:type="dxa" w:w="1871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Versión</w:t>
            </w:r>
          </w:p>
        </w:tc>
        <w:tc>
          <w:tcPr>
            <w:tcW w:type="dxa" w:w="635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rPr>
                <w:rFonts w:ascii="Aptos" w:hAnsi="Aptos"/>
                <w:sz w:val="19"/>
              </w:rPr>
              <w:t>1.0</w:t>
            </w:r>
          </w:p>
        </w:tc>
      </w:tr>
      <w:tr>
        <w:tc>
          <w:tcPr>
            <w:tcW w:type="dxa" w:w="1871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rPr>
                <w:rFonts w:ascii="Aptos" w:hAnsi="Aptos"/>
                <w:b/>
                <w:color w:val="17365D"/>
                <w:sz w:val="18"/>
              </w:rPr>
              <w:t>Fecha</w:t>
            </w:r>
          </w:p>
        </w:tc>
        <w:tc>
          <w:tcPr>
            <w:tcW w:type="dxa" w:w="6350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rPr>
                <w:rFonts w:ascii="Aptos" w:hAnsi="Aptos"/>
                <w:sz w:val="19"/>
              </w:rPr>
              <w:t>21 de septiembre de 2026</w:t>
            </w:r>
          </w:p>
        </w:tc>
      </w:tr>
    </w:tbl>
    <w:p/>
    <w:p>
      <w:pPr>
        <w:spacing w:before="360"/>
      </w:pPr>
      <w:r>
        <w:rPr>
          <w:rFonts w:ascii="Aptos" w:hAnsi="Aptos"/>
          <w:b/>
          <w:color w:val="B08A3E"/>
          <w:sz w:val="18"/>
        </w:rPr>
        <w:t>Uso interno y material de referencia</w:t>
      </w:r>
    </w:p>
    <w:p>
      <w:r>
        <w:br w:type="page"/>
      </w:r>
    </w:p>
    <w:p>
      <w:pPr>
        <w:pStyle w:val="Heading1"/>
      </w:pPr>
      <w:r>
        <w:t>Propósito del documento</w:t>
      </w:r>
    </w:p>
    <w:p>
      <w:r>
        <w:t>Este documento describe cómo está construida la aplicación Aurea Video Hub y cómo se relacionan sus componentes. Su finalidad es facilitar el mantenimiento, la continuidad operativa y la incorporación de personal técnico.</w:t>
      </w:r>
    </w:p>
    <w:p>
      <w:pPr>
        <w:pStyle w:val="Heading2"/>
      </w:pPr>
      <w:r>
        <w:t>Personas destinatarias</w:t>
      </w:r>
    </w:p>
    <w:p>
      <w:r>
        <w:t>Está dirigido a desarrolladores, responsables de infraestructura, administradores de Supabase y personal encargado del despliegue en Netlify.</w:t>
      </w:r>
    </w:p>
    <w:p>
      <w:pPr>
        <w:pStyle w:val="Heading2"/>
      </w:pPr>
      <w:r>
        <w:t>Alcance</w:t>
      </w:r>
    </w:p>
    <w:p>
      <w:r>
        <w:t>La descripción corresponde al código y las migraciones disponibles en el repositorio al 21 de septiembre de 2026. Incluye la aplicación web, las funciones de servidor, la persistencia, la autenticación, los permisos, los archivos privados y los procedimientos de verificación.</w:t>
      </w:r>
    </w:p>
    <w:p>
      <w:pPr>
        <w:pStyle w:val="Heading1"/>
      </w:pPr>
      <w:r>
        <w:t>Contenido</w:t>
      </w:r>
    </w:p>
    <w:p>
      <w:pPr>
        <w:ind w:left="198" w:hanging="198"/>
      </w:pPr>
      <w:r>
        <w:rPr>
          <w:rFonts w:ascii="Aptos" w:hAnsi="Aptos"/>
          <w:b/>
          <w:sz w:val="21"/>
        </w:rPr>
        <w:t>1  Resumen del sistema</w:t>
      </w:r>
    </w:p>
    <w:p>
      <w:pPr>
        <w:ind w:left="198" w:hanging="198"/>
      </w:pPr>
      <w:r>
        <w:rPr>
          <w:rFonts w:ascii="Aptos" w:hAnsi="Aptos"/>
          <w:b/>
          <w:sz w:val="21"/>
        </w:rPr>
        <w:t>2  Tecnologías utilizadas</w:t>
      </w:r>
    </w:p>
    <w:p>
      <w:pPr>
        <w:ind w:left="198" w:hanging="198"/>
      </w:pPr>
      <w:r>
        <w:rPr>
          <w:rFonts w:ascii="Aptos" w:hAnsi="Aptos"/>
          <w:b w:val="0"/>
          <w:sz w:val="21"/>
        </w:rPr>
        <w:t>3  Arquitectura general</w:t>
      </w:r>
    </w:p>
    <w:p>
      <w:pPr>
        <w:ind w:left="198" w:hanging="198"/>
      </w:pPr>
      <w:r>
        <w:rPr>
          <w:rFonts w:ascii="Aptos" w:hAnsi="Aptos"/>
          <w:b w:val="0"/>
          <w:sz w:val="21"/>
        </w:rPr>
        <w:t>4  Estructura del repositorio</w:t>
      </w:r>
    </w:p>
    <w:p>
      <w:pPr>
        <w:ind w:left="198" w:hanging="198"/>
      </w:pPr>
      <w:r>
        <w:rPr>
          <w:rFonts w:ascii="Aptos" w:hAnsi="Aptos"/>
          <w:b w:val="0"/>
          <w:sz w:val="21"/>
        </w:rPr>
        <w:t>5  Modelo de datos</w:t>
      </w:r>
    </w:p>
    <w:p>
      <w:pPr>
        <w:ind w:left="198" w:hanging="198"/>
      </w:pPr>
      <w:r>
        <w:rPr>
          <w:rFonts w:ascii="Aptos" w:hAnsi="Aptos"/>
          <w:b w:val="0"/>
          <w:sz w:val="21"/>
        </w:rPr>
        <w:t>6  Autenticación y autorización</w:t>
      </w:r>
    </w:p>
    <w:p>
      <w:pPr>
        <w:ind w:left="198" w:hanging="198"/>
      </w:pPr>
      <w:r>
        <w:rPr>
          <w:rFonts w:ascii="Aptos" w:hAnsi="Aptos"/>
          <w:b w:val="0"/>
          <w:sz w:val="21"/>
        </w:rPr>
        <w:t>7  Flujo de lectura y guardado</w:t>
      </w:r>
    </w:p>
    <w:p>
      <w:pPr>
        <w:ind w:left="198" w:hanging="198"/>
      </w:pPr>
      <w:r>
        <w:rPr>
          <w:rFonts w:ascii="Aptos" w:hAnsi="Aptos"/>
          <w:b w:val="0"/>
          <w:sz w:val="21"/>
        </w:rPr>
        <w:t>8  Gestión de videos</w:t>
      </w:r>
    </w:p>
    <w:p>
      <w:pPr>
        <w:ind w:left="198" w:hanging="198"/>
      </w:pPr>
      <w:r>
        <w:rPr>
          <w:rFonts w:ascii="Aptos" w:hAnsi="Aptos"/>
          <w:b w:val="0"/>
          <w:sz w:val="21"/>
        </w:rPr>
        <w:t>9  Gestión de cuestionarios y progreso</w:t>
      </w:r>
    </w:p>
    <w:p>
      <w:pPr>
        <w:ind w:left="198" w:hanging="198"/>
      </w:pPr>
      <w:r>
        <w:rPr>
          <w:rFonts w:ascii="Aptos" w:hAnsi="Aptos"/>
          <w:b w:val="0"/>
          <w:sz w:val="21"/>
        </w:rPr>
        <w:t>10  Gestión de documentos</w:t>
      </w:r>
    </w:p>
    <w:p>
      <w:pPr>
        <w:ind w:left="198" w:hanging="198"/>
      </w:pPr>
      <w:r>
        <w:rPr>
          <w:rFonts w:ascii="Aptos" w:hAnsi="Aptos"/>
          <w:b w:val="0"/>
          <w:sz w:val="21"/>
        </w:rPr>
        <w:t>11  Funciones de servidor</w:t>
      </w:r>
    </w:p>
    <w:p>
      <w:pPr>
        <w:ind w:left="198" w:hanging="198"/>
      </w:pPr>
      <w:r>
        <w:rPr>
          <w:rFonts w:ascii="Aptos" w:hAnsi="Aptos"/>
          <w:b w:val="0"/>
          <w:sz w:val="21"/>
        </w:rPr>
        <w:t>12  Seguridad</w:t>
      </w:r>
    </w:p>
    <w:p>
      <w:pPr>
        <w:ind w:left="198" w:hanging="198"/>
      </w:pPr>
      <w:r>
        <w:rPr>
          <w:rFonts w:ascii="Aptos" w:hAnsi="Aptos"/>
          <w:b w:val="0"/>
          <w:sz w:val="21"/>
        </w:rPr>
        <w:t>13  Configuración y despliegue</w:t>
      </w:r>
    </w:p>
    <w:p>
      <w:pPr>
        <w:ind w:left="198" w:hanging="198"/>
      </w:pPr>
      <w:r>
        <w:rPr>
          <w:rFonts w:ascii="Aptos" w:hAnsi="Aptos"/>
          <w:b w:val="0"/>
          <w:sz w:val="21"/>
        </w:rPr>
        <w:t>14  Pruebas y verificación</w:t>
      </w:r>
    </w:p>
    <w:p>
      <w:pPr>
        <w:ind w:left="198" w:hanging="198"/>
      </w:pPr>
      <w:r>
        <w:rPr>
          <w:rFonts w:ascii="Aptos" w:hAnsi="Aptos"/>
          <w:b w:val="0"/>
          <w:sz w:val="21"/>
        </w:rPr>
        <w:t>15  Mantenimiento y recuperación</w:t>
      </w:r>
    </w:p>
    <w:p>
      <w:pPr>
        <w:ind w:left="198" w:hanging="198"/>
      </w:pPr>
      <w:r>
        <w:rPr>
          <w:rFonts w:ascii="Aptos" w:hAnsi="Aptos"/>
          <w:b w:val="0"/>
          <w:sz w:val="21"/>
        </w:rPr>
        <w:t>16  Limitaciones y decisiones técnicas</w:t>
      </w:r>
    </w:p>
    <w:p>
      <w:r>
        <w:br w:type="page"/>
      </w:r>
    </w:p>
    <w:p>
      <w:pPr>
        <w:pStyle w:val="Heading1"/>
      </w:pPr>
      <w:r>
        <w:t>Resumen del sistema</w:t>
      </w:r>
    </w:p>
    <w:p>
      <w:pPr>
        <w:spacing w:before="180" w:after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" name="Picture 1" descr="Interfaz del usuario con navegación por secciones y videos asignados" title="Figura 1  Interfaz principal del portal de aprendizaj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ortal_usua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i/>
          <w:color w:val="595959"/>
          <w:sz w:val="17"/>
        </w:rPr>
        <w:t>Figura 1  Interfaz principal del portal de aprendizaje</w:t>
      </w:r>
    </w:p>
    <w:p>
      <w:r>
        <w:t>Aurea Video Hub es una aplicación web privada para distribuir videos, documentos y evaluaciones según el rol del usuario. La interfaz se ejecuta en el navegador. Supabase proporciona autenticación, base de datos PostgreSQL y almacenamiento de archivos. Netlify publica la aplicación y ejecuta las funciones que requieren credenciales de servidor.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340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6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Implementación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Presentación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Interfaz, navegación y formularios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React y CSS</w:t>
            </w:r>
          </w:p>
        </w:tc>
      </w:tr>
      <w:tr>
        <w:trPr>
          <w:cantSplit/>
        </w:trPr>
        <w:tc>
          <w:tcPr>
            <w:tcW w:type="dxa" w:w="170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Cliente de datos</w:t>
            </w:r>
          </w:p>
        </w:tc>
        <w:tc>
          <w:tcPr>
            <w:tcW w:type="dxa" w:w="340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Consultas, transformación y URLs firmadas</w:t>
            </w:r>
          </w:p>
        </w:tc>
        <w:tc>
          <w:tcPr>
            <w:tcW w:type="dxa" w:w="36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Supabase JavaScript y src/lib/videoHubApi.js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Servidor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Operaciones administrativas con secretos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Netlify Functions</w:t>
            </w:r>
          </w:p>
        </w:tc>
      </w:tr>
      <w:tr>
        <w:trPr>
          <w:cantSplit/>
        </w:trPr>
        <w:tc>
          <w:tcPr>
            <w:tcW w:type="dxa" w:w="170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Persistencia</w:t>
            </w:r>
          </w:p>
        </w:tc>
        <w:tc>
          <w:tcPr>
            <w:tcW w:type="dxa" w:w="340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Contenido, permisos, progreso y auditoría</w:t>
            </w:r>
          </w:p>
        </w:tc>
        <w:tc>
          <w:tcPr>
            <w:tcW w:type="dxa" w:w="36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Supabase PostgreSQL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Archivos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Videos privados, fotos y documentos</w:t>
            </w:r>
          </w:p>
        </w:tc>
        <w:tc>
          <w:tcPr>
            <w:tcW w:type="dxa" w:w="36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Supabase Storage</w:t>
            </w:r>
          </w:p>
        </w:tc>
      </w:tr>
      <w:tr>
        <w:trPr>
          <w:cantSplit/>
        </w:trPr>
        <w:tc>
          <w:tcPr>
            <w:tcW w:type="dxa" w:w="170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Seguridad</w:t>
            </w:r>
          </w:p>
        </w:tc>
        <w:tc>
          <w:tcPr>
            <w:tcW w:type="dxa" w:w="340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Sesiones, políticas por fila y cabeceras</w:t>
            </w:r>
          </w:p>
        </w:tc>
        <w:tc>
          <w:tcPr>
            <w:tcW w:type="dxa" w:w="36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Supabase Auth, RLS y netlify.toml</w:t>
            </w:r>
          </w:p>
        </w:tc>
      </w:tr>
    </w:tbl>
    <w:p>
      <w:pPr>
        <w:spacing w:after="20"/>
      </w:pPr>
    </w:p>
    <w:p>
      <w:pPr>
        <w:pStyle w:val="Heading1"/>
      </w:pPr>
      <w:r>
        <w:t>Tecnologías utilizadas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635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Uso en el proyecto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React 19</w:t>
            </w:r>
          </w:p>
        </w:tc>
        <w:tc>
          <w:tcPr>
            <w:tcW w:type="dxa" w:w="635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Componentes funcionales, estado, efectos y renderizado de las vistas.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Vite 8</w:t>
            </w:r>
          </w:p>
        </w:tc>
        <w:tc>
          <w:tcPr>
            <w:tcW w:type="dxa" w:w="635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Servidor de desarrollo y compilación optimizada para producción.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JavaScript con módulos ES</w:t>
            </w:r>
          </w:p>
        </w:tc>
        <w:tc>
          <w:tcPr>
            <w:tcW w:type="dxa" w:w="635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Código del cliente, utilidades, pruebas y funciones de servidor.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Supabase JavaScript</w:t>
            </w:r>
          </w:p>
        </w:tc>
        <w:tc>
          <w:tcPr>
            <w:tcW w:type="dxa" w:w="635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Autenticación, consultas PostgREST, RPC y Storage.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PostgreSQL</w:t>
            </w:r>
          </w:p>
        </w:tc>
        <w:tc>
          <w:tcPr>
            <w:tcW w:type="dxa" w:w="635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Modelo relacional, restricciones, funciones, triggers y políticas RLS.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Netlify</w:t>
            </w:r>
          </w:p>
        </w:tc>
        <w:tc>
          <w:tcPr>
            <w:tcW w:type="dxa" w:w="635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Alojamiento SPA, funciones de servidor, redirecciones y cabeceras de seguridad.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Lucide React</w:t>
            </w:r>
          </w:p>
        </w:tc>
        <w:tc>
          <w:tcPr>
            <w:tcW w:type="dxa" w:w="635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Iconografía de la interfaz.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Vimeo Player</w:t>
            </w:r>
          </w:p>
        </w:tc>
        <w:tc>
          <w:tcPr>
            <w:tcW w:type="dxa" w:w="635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Integración y seguimiento de reproducción para Vimeo.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ExcelJS</w:t>
            </w:r>
          </w:p>
        </w:tc>
        <w:tc>
          <w:tcPr>
            <w:tcW w:type="dxa" w:w="635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Exportación de información a archivos de Excel.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Node test runner</w:t>
            </w:r>
          </w:p>
        </w:tc>
        <w:tc>
          <w:tcPr>
            <w:tcW w:type="dxa" w:w="635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Pruebas automatizadas sin un framework adicional.</w:t>
            </w:r>
          </w:p>
        </w:tc>
      </w:tr>
    </w:tbl>
    <w:p>
      <w:pPr>
        <w:spacing w:after="20"/>
      </w:pPr>
    </w:p>
    <w:p>
      <w:pPr>
        <w:pStyle w:val="Heading1"/>
      </w:pPr>
      <w:r>
        <w:t>Arquitectura general</w:t>
      </w:r>
    </w:p>
    <w:p>
      <w:pPr>
        <w:spacing w:before="180" w:after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2" name="Picture 2" descr="Panel administrativo de la aplicación React con resumen de contenido" title="Figura 2  Interfaz del panel administrativo construida con Rea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nel_administrad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i/>
          <w:color w:val="595959"/>
          <w:sz w:val="17"/>
        </w:rPr>
        <w:t>Figura 2  Interfaz del panel administrativo construida con React</w:t>
      </w:r>
    </w:p>
    <w:p>
      <w:r>
        <w:t>El navegador carga la aplicación compilada desde Netlify. Las consultas permitidas se realizan directamente contra Supabase con la clave publicable y la sesión del usuario. Las operaciones que requieren la clave secreta se envían a Netlify Functions. PostgreSQL valida nuevamente la organización, el rol y el acceso mediante políticas RLS y funciones privadas.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81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19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498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Flujo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Navegador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Netlify</w:t>
            </w:r>
          </w:p>
        </w:tc>
        <w:tc>
          <w:tcPr>
            <w:tcW w:type="dxa" w:w="498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Descarga index.html, JavaScript y CSS. Envía solicitudes a funciones del mismo sitio.</w:t>
            </w:r>
          </w:p>
        </w:tc>
      </w:tr>
      <w:tr>
        <w:trPr>
          <w:cantSplit/>
        </w:trPr>
        <w:tc>
          <w:tcPr>
            <w:tcW w:type="dxa" w:w="181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Navegador</w:t>
            </w:r>
          </w:p>
        </w:tc>
        <w:tc>
          <w:tcPr>
            <w:tcW w:type="dxa" w:w="19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Supabase Auth</w:t>
            </w:r>
          </w:p>
        </w:tc>
        <w:tc>
          <w:tcPr>
            <w:tcW w:type="dxa" w:w="4989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Establece y renueva la sesión autenticada.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Navegador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Supabase REST</w:t>
            </w:r>
          </w:p>
        </w:tc>
        <w:tc>
          <w:tcPr>
            <w:tcW w:type="dxa" w:w="498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Lee contenido y guarda operaciones permitidas por RLS.</w:t>
            </w:r>
          </w:p>
        </w:tc>
      </w:tr>
      <w:tr>
        <w:trPr>
          <w:cantSplit/>
        </w:trPr>
        <w:tc>
          <w:tcPr>
            <w:tcW w:type="dxa" w:w="1814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Navegador</w:t>
            </w:r>
          </w:p>
        </w:tc>
        <w:tc>
          <w:tcPr>
            <w:tcW w:type="dxa" w:w="192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Supabase Storage</w:t>
            </w:r>
          </w:p>
        </w:tc>
        <w:tc>
          <w:tcPr>
            <w:tcW w:type="dxa" w:w="4989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Sube o abre archivos mediante políticas y enlaces firmados.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Netlify Functions</w:t>
            </w:r>
          </w:p>
        </w:tc>
        <w:tc>
          <w:tcPr>
            <w:tcW w:type="dxa" w:w="19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Supabase</w:t>
            </w:r>
          </w:p>
        </w:tc>
        <w:tc>
          <w:tcPr>
            <w:tcW w:type="dxa" w:w="498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Ejecuta creación de usuarios, acceso y guardados administrativos con validación de servidor.</w:t>
            </w:r>
          </w:p>
        </w:tc>
      </w:tr>
    </w:tbl>
    <w:p>
      <w:pPr>
        <w:spacing w:after="20"/>
      </w:pPr>
    </w:p>
    <w:p>
      <w:pPr>
        <w:spacing w:before="80" w:after="160"/>
      </w:pPr>
      <w:r>
        <w:rPr>
          <w:rFonts w:ascii="Aptos" w:hAnsi="Aptos"/>
          <w:b/>
          <w:color w:val="17365D"/>
        </w:rPr>
        <w:t xml:space="preserve">Principio de diseño </w:t>
      </w:r>
      <w:r>
        <w:t>Supabase es la fuente de verdad. El contenido no se guarda en localStorage ni en otra base local del navegador.</w:t>
      </w:r>
    </w:p>
    <w:p>
      <w:pPr>
        <w:pStyle w:val="Heading1"/>
      </w:pPr>
      <w:r>
        <w:t>Estructura del repositorio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9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578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src/App.jsx</w:t>
            </w:r>
          </w:p>
        </w:tc>
        <w:tc>
          <w:tcPr>
            <w:tcW w:type="dxa" w:w="578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Aplicación principal, autenticación, panel administrativo, vistas por rol, reproductores, cuestionarios y progreso.</w:t>
            </w:r>
          </w:p>
        </w:tc>
      </w:tr>
      <w:tr>
        <w:trPr>
          <w:cantSplit/>
        </w:trPr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src/DocumentsManager.jsx</w:t>
            </w:r>
          </w:p>
        </w:tc>
        <w:tc>
          <w:tcPr>
            <w:tcW w:type="dxa" w:w="5783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Interfaz administrativa para subir, renombrar y eliminar documentos.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src/lib/videoHubApi.js</w:t>
            </w:r>
          </w:p>
        </w:tc>
        <w:tc>
          <w:tcPr>
            <w:tcW w:type="dxa" w:w="578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Capa de acceso a Supabase y Netlify Functions, mapeo de registros y validaciones del cliente.</w:t>
            </w:r>
          </w:p>
        </w:tc>
      </w:tr>
      <w:tr>
        <w:trPr>
          <w:cantSplit/>
        </w:trPr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src/lib/supabase.js</w:t>
            </w:r>
          </w:p>
        </w:tc>
        <w:tc>
          <w:tcPr>
            <w:tcW w:type="dxa" w:w="5783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Creación del cliente Supabase con variables Vite.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src/styles.css</w:t>
            </w:r>
          </w:p>
        </w:tc>
        <w:tc>
          <w:tcPr>
            <w:tcW w:type="dxa" w:w="578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Sistema visual responsive, temas y estilos de todos los componentes.</w:t>
            </w:r>
          </w:p>
        </w:tc>
      </w:tr>
      <w:tr>
        <w:trPr>
          <w:cantSplit/>
        </w:trPr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src/videoUtils.js</w:t>
            </w:r>
          </w:p>
        </w:tc>
        <w:tc>
          <w:tcPr>
            <w:tcW w:type="dxa" w:w="5783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Detección de proveedores, miniaturas y utilidades de video.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netlify/functions</w:t>
            </w:r>
          </w:p>
        </w:tc>
        <w:tc>
          <w:tcPr>
            <w:tcW w:type="dxa" w:w="578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Endpoints de autenticación, usuarios, importación de Drive y guardado administrativo.</w:t>
            </w:r>
          </w:p>
        </w:tc>
      </w:tr>
      <w:tr>
        <w:trPr>
          <w:cantSplit/>
        </w:trPr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supabase/migrations</w:t>
            </w:r>
          </w:p>
        </w:tc>
        <w:tc>
          <w:tcPr>
            <w:tcW w:type="dxa" w:w="5783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Evolución versionada del esquema, seguridad y funciones de base de datos.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scripts</w:t>
            </w:r>
          </w:p>
        </w:tc>
        <w:tc>
          <w:tcPr>
            <w:tcW w:type="dxa" w:w="578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Pruebas, comprobaciones de conexión, verificación del esquema y aprovisionamiento.</w:t>
            </w:r>
          </w:p>
        </w:tc>
      </w:tr>
      <w:tr>
        <w:trPr>
          <w:cantSplit/>
        </w:trPr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netlify.toml</w:t>
            </w:r>
          </w:p>
        </w:tc>
        <w:tc>
          <w:tcPr>
            <w:tcW w:type="dxa" w:w="5783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Build, publicación, funciones, redirección SPA y cabeceras de seguridad.</w:t>
            </w:r>
          </w:p>
        </w:tc>
      </w:tr>
    </w:tbl>
    <w:p>
      <w:pPr>
        <w:spacing w:after="20"/>
      </w:pPr>
    </w:p>
    <w:p>
      <w:pPr>
        <w:pStyle w:val="Heading1"/>
      </w:pPr>
      <w:r>
        <w:t>Modelo de datos</w:t>
      </w:r>
    </w:p>
    <w:p>
      <w:r>
        <w:t>Todas las entidades principales incluyen organization_id o se relacionan con una entidad que lo contiene. Esta separación permite aplicar permisos por organización.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340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Finalidad</w:t>
            </w:r>
          </w:p>
        </w:tc>
        <w:tc>
          <w:tcPr>
            <w:tcW w:type="dxa" w:w="29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Relaciones principales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organizations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Organizaciones que usan el portal</w:t>
            </w:r>
          </w:p>
        </w:tc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Raíz de la mayoría de los datos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profiles</w:t>
            </w:r>
          </w:p>
        </w:tc>
        <w:tc>
          <w:tcPr>
            <w:tcW w:type="dxa" w:w="340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Perfil, rol y estado del usuario</w:t>
            </w:r>
          </w:p>
        </w:tc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auth.users y organizations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app_settings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Textos y preferencias del portal</w:t>
            </w:r>
          </w:p>
        </w:tc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organizations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sections</w:t>
            </w:r>
          </w:p>
        </w:tc>
        <w:tc>
          <w:tcPr>
            <w:tcW w:type="dxa" w:w="340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Categorías visibles en la navegación</w:t>
            </w:r>
          </w:p>
        </w:tc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organizations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section_roles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Visibilidad de sección por rol</w:t>
            </w:r>
          </w:p>
        </w:tc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sections y organizations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section_content_settings</w:t>
            </w:r>
          </w:p>
        </w:tc>
        <w:tc>
          <w:tcPr>
            <w:tcW w:type="dxa" w:w="340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Modo videos o documents de cada sección</w:t>
            </w:r>
          </w:p>
        </w:tc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sections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videos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Metadatos principales del video</w:t>
            </w:r>
          </w:p>
        </w:tc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organizations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video_sources</w:t>
            </w:r>
          </w:p>
        </w:tc>
        <w:tc>
          <w:tcPr>
            <w:tcW w:type="dxa" w:w="340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Proveedor y ubicación del contenido</w:t>
            </w:r>
          </w:p>
        </w:tc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videos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video_assignments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Sección, rol, visibilidad y bloqueo</w:t>
            </w:r>
          </w:p>
        </w:tc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videos y sections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video_watch_progress</w:t>
            </w:r>
          </w:p>
        </w:tc>
        <w:tc>
          <w:tcPr>
            <w:tcW w:type="dxa" w:w="340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Posición y finalización por usuario</w:t>
            </w:r>
          </w:p>
        </w:tc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videos, profiles y organizations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video_quizzes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Configuración general de evaluación</w:t>
            </w:r>
          </w:p>
        </w:tc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videos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video_quiz_questions</w:t>
            </w:r>
          </w:p>
        </w:tc>
        <w:tc>
          <w:tcPr>
            <w:tcW w:type="dxa" w:w="340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Preguntas y orden</w:t>
            </w:r>
          </w:p>
        </w:tc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video_quizzes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video_quiz_options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Opciones y respuesta correcta</w:t>
            </w:r>
          </w:p>
        </w:tc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video_quiz_questions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video_quiz_attempts</w:t>
            </w:r>
          </w:p>
        </w:tc>
        <w:tc>
          <w:tcPr>
            <w:tcW w:type="dxa" w:w="340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Intentos, puntaje y resultado</w:t>
            </w:r>
          </w:p>
        </w:tc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usuarios, videos y organizaciones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section_documents</w:t>
            </w:r>
          </w:p>
        </w:tc>
        <w:tc>
          <w:tcPr>
            <w:tcW w:type="dxa" w:w="340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Metadatos y ruta privada del archivo</w:t>
            </w:r>
          </w:p>
        </w:tc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sections, organizations y auth.users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audit_events</w:t>
            </w:r>
          </w:p>
        </w:tc>
        <w:tc>
          <w:tcPr>
            <w:tcW w:type="dxa" w:w="340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Trazabilidad de operaciones relevantes</w:t>
            </w:r>
          </w:p>
        </w:tc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organizations y usuarios</w:t>
            </w:r>
          </w:p>
        </w:tc>
      </w:tr>
    </w:tbl>
    <w:p>
      <w:pPr>
        <w:spacing w:after="20"/>
      </w:pPr>
    </w:p>
    <w:p>
      <w:pPr>
        <w:pStyle w:val="Heading1"/>
      </w:pPr>
      <w:r>
        <w:t>Autenticación y autorización</w:t>
      </w:r>
    </w:p>
    <w:p>
      <w:pPr>
        <w:pStyle w:val="Heading2"/>
      </w:pPr>
      <w:r>
        <w:t>Inicio de sesión</w:t>
      </w:r>
    </w:p>
    <w:p>
      <w:r>
        <w:t>El usuario introduce un nombre y una contraseña. La función login-with-password localiza la cuenta asociada, controla los intentos y utiliza Supabase Auth para validar la contraseña. El navegador recibe una sesión de Supabase y la conserva mediante la biblioteca oficial.</w:t>
      </w:r>
    </w:p>
    <w:p>
      <w:pPr>
        <w:pStyle w:val="Heading2"/>
      </w:pPr>
      <w:r>
        <w:t>Contexto de acceso</w:t>
      </w:r>
    </w:p>
    <w:p>
      <w:r>
        <w:t>La aplicación obtiene userId, organizationId, rol, nombre visible, estado y revisión de contenido. Una cuenta inactiva o sin perfil válido no recibe acceso normal al portal.</w:t>
      </w:r>
    </w:p>
    <w:p>
      <w:pPr>
        <w:pStyle w:val="Heading2"/>
      </w:pPr>
      <w:r>
        <w:t>Políticas por fila</w:t>
      </w:r>
    </w:p>
    <w:p>
      <w:r>
        <w:t>Las tablas públicas tienen RLS. Las funciones privadas current_organization_id, current_role, is_admin_for y can_view_section centralizan las decisiones. El cliente no puede ampliar sus permisos modificando la interfaz, porque PostgreSQL aplica las políticas en cada consulta.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51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Lectura</w:t>
            </w:r>
          </w:p>
        </w:tc>
        <w:tc>
          <w:tcPr>
            <w:tcW w:type="dxa" w:w="351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Escritura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Administrador</w:t>
            </w:r>
          </w:p>
        </w:tc>
        <w:tc>
          <w:tcPr>
            <w:tcW w:type="dxa" w:w="351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Datos administrables de su organización</w:t>
            </w:r>
          </w:p>
        </w:tc>
        <w:tc>
          <w:tcPr>
            <w:tcW w:type="dxa" w:w="351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Contenido, secciones, documentos y usuarios mediante los flujos autorizados</w:t>
            </w:r>
          </w:p>
        </w:tc>
      </w:tr>
      <w:tr>
        <w:trPr>
          <w:cantSplit/>
        </w:trPr>
        <w:tc>
          <w:tcPr>
            <w:tcW w:type="dxa" w:w="170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Operante</w:t>
            </w:r>
          </w:p>
        </w:tc>
        <w:tc>
          <w:tcPr>
            <w:tcW w:type="dxa" w:w="3515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Secciones y contenido visible para operator</w:t>
            </w:r>
          </w:p>
        </w:tc>
        <w:tc>
          <w:tcPr>
            <w:tcW w:type="dxa" w:w="3515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Progreso propio, intentos y foto propia cuando corresponda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Jefe</w:t>
            </w:r>
          </w:p>
        </w:tc>
        <w:tc>
          <w:tcPr>
            <w:tcW w:type="dxa" w:w="351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Secciones y contenido visible para boss</w:t>
            </w:r>
          </w:p>
        </w:tc>
        <w:tc>
          <w:tcPr>
            <w:tcW w:type="dxa" w:w="351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Progreso propio, intentos y foto propia cuando corresponda</w:t>
            </w:r>
          </w:p>
        </w:tc>
      </w:tr>
    </w:tbl>
    <w:p>
      <w:pPr>
        <w:spacing w:after="20"/>
      </w:pPr>
    </w:p>
    <w:p>
      <w:pPr>
        <w:pStyle w:val="Heading1"/>
      </w:pPr>
      <w:r>
        <w:t>Flujo de lectura y guardado</w:t>
      </w:r>
    </w:p>
    <w:p>
      <w:pPr>
        <w:pStyle w:val="Heading2"/>
      </w:pPr>
      <w:r>
        <w:t>Carga de contenido</w:t>
      </w:r>
    </w:p>
    <w:p>
      <w:pPr>
        <w:keepNext/>
        <w:spacing w:after="80"/>
        <w:ind w:left="369" w:hanging="369"/>
      </w:pPr>
      <w:r>
        <w:t>1.  La aplicación comprueba la sesión actual y obtiene el contexto de acceso.</w:t>
      </w:r>
    </w:p>
    <w:p>
      <w:pPr>
        <w:keepNext/>
        <w:spacing w:after="80"/>
        <w:ind w:left="369" w:hanging="369"/>
      </w:pPr>
      <w:r>
        <w:t>2.  loadVideoHubSnapshot solicita organización, configuración, secciones, roles, videos, asignaciones, progreso, cuestionarios, tipos de sección y documentos.</w:t>
      </w:r>
    </w:p>
    <w:p>
      <w:pPr>
        <w:keepNext/>
        <w:spacing w:after="80"/>
        <w:ind w:left="369" w:hanging="369"/>
      </w:pPr>
      <w:r>
        <w:t>3.  Las filas se filtran y transforman al modelo usado por React.</w:t>
      </w:r>
    </w:p>
    <w:p>
      <w:pPr>
        <w:keepNext/>
        <w:spacing w:after="80"/>
        <w:ind w:left="369" w:hanging="369"/>
      </w:pPr>
      <w:r>
        <w:t>4.  Las fuentes privadas reciben URLs firmadas con vencimiento y margen de renovación.</w:t>
      </w:r>
    </w:p>
    <w:p>
      <w:pPr>
        <w:keepNext w:val="0"/>
        <w:spacing w:after="80"/>
        <w:ind w:left="369" w:hanging="369"/>
      </w:pPr>
      <w:r>
        <w:t>5.  La interfaz vuelve a consultar al recuperar el foco y mediante un intervalo periódico.</w:t>
      </w:r>
    </w:p>
    <w:p>
      <w:pPr>
        <w:pStyle w:val="Heading2"/>
      </w:pPr>
      <w:r>
        <w:t>Guardado administrativo</w:t>
      </w:r>
    </w:p>
    <w:p>
      <w:r>
        <w:t>Los cambios generales se preparan como un snapshot y se envían a save-admin-snapshot. La operación usa una revisión esperada para detectar modificaciones concurrentes. El seguimiento de revisiones evita que una respuesta tardía haga retroceder el estado confirmado. La función y la RPC realizan el guardado administrativo de forma transaccional.</w:t>
      </w:r>
    </w:p>
    <w:p>
      <w:pPr>
        <w:pStyle w:val="Heading1"/>
      </w:pPr>
      <w:r>
        <w:t>Gestión de videos</w:t>
      </w:r>
    </w:p>
    <w:p>
      <w:r>
        <w:t>Cada video separa sus metadatos, su fuente y sus asignaciones. La utilidad de video detecta YouTube, Google Drive, Vimeo, Loom y archivos directos. Las asignaciones indican el rol, la sección, la visibilidad, el bloqueo y el orden.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2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Proveedor</w:t>
            </w:r>
          </w:p>
        </w:tc>
        <w:tc>
          <w:tcPr>
            <w:tcW w:type="dxa" w:w="646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Tratamiento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YouTube</w:t>
            </w:r>
          </w:p>
        </w:tc>
        <w:tc>
          <w:tcPr>
            <w:tcW w:type="dxa" w:w="646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Reproductor integrado y API de iframe para seguimiento de tiempo.</w:t>
            </w:r>
          </w:p>
        </w:tc>
      </w:tr>
      <w:tr>
        <w:trPr>
          <w:cantSplit/>
        </w:trPr>
        <w:tc>
          <w:tcPr>
            <w:tcW w:type="dxa" w:w="226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Google Drive</w:t>
            </w:r>
          </w:p>
        </w:tc>
        <w:tc>
          <w:tcPr>
            <w:tcW w:type="dxa" w:w="6463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Importación en segundo plano cuando corresponde y reproducción de la fuente resultante.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Vimeo</w:t>
            </w:r>
          </w:p>
        </w:tc>
        <w:tc>
          <w:tcPr>
            <w:tcW w:type="dxa" w:w="646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Reproductor integrado mediante Vimeo Player.</w:t>
            </w:r>
          </w:p>
        </w:tc>
      </w:tr>
      <w:tr>
        <w:trPr>
          <w:cantSplit/>
        </w:trPr>
        <w:tc>
          <w:tcPr>
            <w:tcW w:type="dxa" w:w="226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Loom</w:t>
            </w:r>
          </w:p>
        </w:tc>
        <w:tc>
          <w:tcPr>
            <w:tcW w:type="dxa" w:w="6463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Reproductor embebido.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Archivo directo</w:t>
            </w:r>
          </w:p>
        </w:tc>
        <w:tc>
          <w:tcPr>
            <w:tcW w:type="dxa" w:w="646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Elemento de video HTML para MP4, WebM u Ogg.</w:t>
            </w:r>
          </w:p>
        </w:tc>
      </w:tr>
      <w:tr>
        <w:trPr>
          <w:cantSplit/>
        </w:trPr>
        <w:tc>
          <w:tcPr>
            <w:tcW w:type="dxa" w:w="226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Supabase Storage</w:t>
            </w:r>
          </w:p>
        </w:tc>
        <w:tc>
          <w:tcPr>
            <w:tcW w:type="dxa" w:w="6463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URL firmada temporal para archivos privados.</w:t>
            </w:r>
          </w:p>
        </w:tc>
      </w:tr>
    </w:tbl>
    <w:p>
      <w:pPr>
        <w:spacing w:after="20"/>
      </w:pPr>
    </w:p>
    <w:p>
      <w:pPr>
        <w:pStyle w:val="Heading1"/>
      </w:pPr>
      <w:r>
        <w:t>Gestión de cuestionarios y progreso</w:t>
      </w:r>
    </w:p>
    <w:p>
      <w:r>
        <w:t>El reproductor informa periódicamente la posición y la duración observada. La base de datos registra el avance y aplica una regla de finalización. Después de completar un video, el usuario puede responder el cuestionario asociado.</w:t>
      </w:r>
    </w:p>
    <w:p>
      <w:pPr>
        <w:pStyle w:val="ListBullet"/>
        <w:spacing w:after="30"/>
      </w:pPr>
      <w:r>
        <w:t>Las preguntas y opciones se administran por video.</w:t>
      </w:r>
    </w:p>
    <w:p>
      <w:pPr>
        <w:pStyle w:val="ListBullet"/>
        <w:spacing w:after="30"/>
      </w:pPr>
      <w:r>
        <w:t>El porcentaje mínimo de aprobación se conserva en la configuración del cuestionario.</w:t>
      </w:r>
    </w:p>
    <w:p>
      <w:pPr>
        <w:pStyle w:val="ListBullet"/>
        <w:spacing w:after="30"/>
      </w:pPr>
      <w:r>
        <w:t>Los intentos registran puntaje, aprobación y respuestas.</w:t>
      </w:r>
    </w:p>
    <w:p>
      <w:pPr>
        <w:pStyle w:val="ListBullet"/>
        <w:spacing w:after="30"/>
      </w:pPr>
      <w:r>
        <w:t>La fotografía opcional se guarda en un bucket privado y se consulta con una URL firmada de corta duración.</w:t>
      </w:r>
    </w:p>
    <w:p>
      <w:pPr>
        <w:pStyle w:val="ListBullet"/>
        <w:spacing w:after="30"/>
      </w:pPr>
      <w:r>
        <w:t>El administrador puede revisar resultados y detalle de intentos según las políticas RLS.</w:t>
      </w:r>
    </w:p>
    <w:p>
      <w:pPr>
        <w:pStyle w:val="Heading1"/>
      </w:pPr>
      <w:r>
        <w:t>Gestión de documentos</w:t>
      </w:r>
    </w:p>
    <w:p>
      <w:pPr>
        <w:spacing w:before="180" w:after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3" name="Picture 3" descr="Biblioteca de documentos con formulario de carga y archivos publicados" title="Figura 3  Módulo de documentos conectado con Supabase Sto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ocu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i/>
          <w:color w:val="595959"/>
          <w:sz w:val="17"/>
        </w:rPr>
        <w:t>Figura 3  Módulo de documentos conectado con Supabase Storage</w:t>
      </w:r>
    </w:p>
    <w:p>
      <w:r>
        <w:t>La migración 20260909193654_section_documents.sql añade el modo de contenido por sección y el almacenamiento privado de documentos.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35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Comportamiento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section_content_settings</w:t>
            </w:r>
          </w:p>
        </w:tc>
        <w:tc>
          <w:tcPr>
            <w:tcW w:type="dxa" w:w="635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Conserva videos o documents para cada sección y crea un valor videos por defecto.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section_documents</w:t>
            </w:r>
          </w:p>
        </w:tc>
        <w:tc>
          <w:tcPr>
            <w:tcW w:type="dxa" w:w="635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Conserva título, nombre, MIME, tamaño, bucket, ruta, orden, estado y autor.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document-assets</w:t>
            </w:r>
          </w:p>
        </w:tc>
        <w:tc>
          <w:tcPr>
            <w:tcW w:type="dxa" w:w="635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Bucket privado con límite de 25 MB y tipos PDF, DOC y DOCX.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Ruta del objeto</w:t>
            </w:r>
          </w:p>
        </w:tc>
        <w:tc>
          <w:tcPr>
            <w:tcW w:type="dxa" w:w="635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organizationId/sectionId/documentId/nombre-seguro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Lectura</w:t>
            </w:r>
          </w:p>
        </w:tc>
        <w:tc>
          <w:tcPr>
            <w:tcW w:type="dxa" w:w="635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Exige documento activo y acceso vigente a la sección.</w:t>
            </w:r>
          </w:p>
        </w:tc>
      </w:tr>
      <w:tr>
        <w:trPr>
          <w:cantSplit/>
        </w:trPr>
        <w:tc>
          <w:tcPr>
            <w:tcW w:type="dxa" w:w="238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Subida</w:t>
            </w:r>
          </w:p>
        </w:tc>
        <w:tc>
          <w:tcPr>
            <w:tcW w:type="dxa" w:w="635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Exige administrador de la organización y sección en modo documents.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Eliminación</w:t>
            </w:r>
          </w:p>
        </w:tc>
        <w:tc>
          <w:tcPr>
            <w:tcW w:type="dxa" w:w="635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Autoriza el registro existente y permite limpiar subidas cuyo registro haya fallado.</w:t>
            </w:r>
          </w:p>
        </w:tc>
      </w:tr>
    </w:tbl>
    <w:p>
      <w:pPr>
        <w:spacing w:after="20"/>
      </w:pPr>
    </w:p>
    <w:p>
      <w:pPr>
        <w:pStyle w:val="Heading2"/>
      </w:pPr>
      <w:r>
        <w:t>Secuencia de subida</w:t>
      </w:r>
    </w:p>
    <w:p>
      <w:pPr>
        <w:keepNext/>
        <w:spacing w:after="80"/>
        <w:ind w:left="369" w:hanging="369"/>
      </w:pPr>
      <w:r>
        <w:t>1.  El cliente valida identificadores, título, extensión, MIME y tamaño.</w:t>
      </w:r>
    </w:p>
    <w:p>
      <w:pPr>
        <w:keepNext/>
        <w:spacing w:after="80"/>
        <w:ind w:left="369" w:hanging="369"/>
      </w:pPr>
      <w:r>
        <w:t>2.  Genera un UUID y un nombre seguro para la ruta.</w:t>
      </w:r>
    </w:p>
    <w:p>
      <w:pPr>
        <w:keepNext/>
        <w:spacing w:after="80"/>
        <w:ind w:left="369" w:hanging="369"/>
      </w:pPr>
      <w:r>
        <w:t>3.  Sube el archivo al bucket document-assets.</w:t>
      </w:r>
    </w:p>
    <w:p>
      <w:pPr>
        <w:keepNext/>
        <w:spacing w:after="80"/>
        <w:ind w:left="369" w:hanging="369"/>
      </w:pPr>
      <w:r>
        <w:t>4.  Inserta los metadatos en section_documents.</w:t>
      </w:r>
    </w:p>
    <w:p>
      <w:pPr>
        <w:keepNext w:val="0"/>
        <w:spacing w:after="80"/>
        <w:ind w:left="369" w:hanging="369"/>
      </w:pPr>
      <w:r>
        <w:t>5.  Si falla el registro, intenta eliminar el objeto subido para evitar archivos huérfanos.</w:t>
      </w:r>
    </w:p>
    <w:p>
      <w:pPr>
        <w:pStyle w:val="Heading2"/>
      </w:pPr>
      <w:r>
        <w:t>Integridad</w:t>
      </w:r>
    </w:p>
    <w:p>
      <w:r>
        <w:t>Una sección con documentos activos no puede volver al modo videos. La relación section_documents con sections usa eliminación restringida, por lo que los archivos deben eliminarse antes que la sección. Los archivos se consultan mediante URL firmada durante una hora.</w:t>
      </w:r>
    </w:p>
    <w:p>
      <w:pPr>
        <w:pStyle w:val="Heading1"/>
      </w:pPr>
      <w:r>
        <w:t>Funciones de servidor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83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58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login-with-password</w:t>
            </w:r>
          </w:p>
        </w:tc>
        <w:tc>
          <w:tcPr>
            <w:tcW w:type="dxa" w:w="58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Resuelve el usuario, aplica controles de acceso y solicita la sesión a Supabase Auth.</w:t>
            </w:r>
          </w:p>
        </w:tc>
      </w:tr>
      <w:tr>
        <w:trPr>
          <w:cantSplit/>
        </w:trPr>
        <w:tc>
          <w:tcPr>
            <w:tcW w:type="dxa" w:w="2835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create-user</w:t>
            </w:r>
          </w:p>
        </w:tc>
        <w:tc>
          <w:tcPr>
            <w:tcW w:type="dxa" w:w="58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 una cuenta Auth y su perfil administrativo.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update-user</w:t>
            </w:r>
          </w:p>
        </w:tc>
        <w:tc>
          <w:tcPr>
            <w:tcW w:type="dxa" w:w="58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Modifica datos, rol, estado o contraseña de una cuenta administrada.</w:t>
            </w:r>
          </w:p>
        </w:tc>
      </w:tr>
      <w:tr>
        <w:trPr>
          <w:cantSplit/>
        </w:trPr>
        <w:tc>
          <w:tcPr>
            <w:tcW w:type="dxa" w:w="2835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save-admin-snapshot</w:t>
            </w:r>
          </w:p>
        </w:tc>
        <w:tc>
          <w:tcPr>
            <w:tcW w:type="dxa" w:w="5896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Valida y guarda el snapshot con control de revisión.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import-drive-videos</w:t>
            </w:r>
          </w:p>
        </w:tc>
        <w:tc>
          <w:tcPr>
            <w:tcW w:type="dxa" w:w="58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Coordina la importación o normalización de fuentes de Google Drive.</w:t>
            </w:r>
          </w:p>
        </w:tc>
      </w:tr>
    </w:tbl>
    <w:p>
      <w:pPr>
        <w:spacing w:after="20"/>
      </w:pPr>
    </w:p>
    <w:p>
      <w:r>
        <w:t>Las funciones comparten utilidades de servidor para configuración, respuestas HTTP y clientes Supabase. La clave secreta permanece en el entorno de Netlify y no debe llegar al navegador.</w:t>
      </w:r>
    </w:p>
    <w:p>
      <w:pPr>
        <w:pStyle w:val="Heading1"/>
      </w:pPr>
      <w:r>
        <w:t>Seguridad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12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Aplicación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Supabase Auth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Contraseñas y sesiones individuales.</w:t>
            </w:r>
          </w:p>
        </w:tc>
      </w:tr>
      <w:tr>
        <w:trPr>
          <w:cantSplit/>
        </w:trPr>
        <w:tc>
          <w:tcPr>
            <w:tcW w:type="dxa" w:w="260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RLS</w:t>
            </w:r>
          </w:p>
        </w:tc>
        <w:tc>
          <w:tcPr>
            <w:tcW w:type="dxa" w:w="6123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Aislamiento por organización, rol, propiedad y visibilidad.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Security definer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Funciones de autorización con search_path vacío para reducir riesgos de resolución de objetos.</w:t>
            </w:r>
          </w:p>
        </w:tc>
      </w:tr>
      <w:tr>
        <w:trPr>
          <w:cantSplit/>
        </w:trPr>
        <w:tc>
          <w:tcPr>
            <w:tcW w:type="dxa" w:w="260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Buckets privados</w:t>
            </w:r>
          </w:p>
        </w:tc>
        <w:tc>
          <w:tcPr>
            <w:tcW w:type="dxa" w:w="6123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Videos, fotografías y documentos sin acceso público directo.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URLs firmadas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Acceso temporal a archivos autorizados.</w:t>
            </w:r>
          </w:p>
        </w:tc>
      </w:tr>
      <w:tr>
        <w:trPr>
          <w:cantSplit/>
        </w:trPr>
        <w:tc>
          <w:tcPr>
            <w:tcW w:type="dxa" w:w="260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Validación doble</w:t>
            </w:r>
          </w:p>
        </w:tc>
        <w:tc>
          <w:tcPr>
            <w:tcW w:type="dxa" w:w="6123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Comprobaciones en el cliente y restricciones en PostgreSQL o Storage.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Content Security Policy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Limita scripts, conexiones, marcos, fuentes y otros recursos permitidos.</w:t>
            </w:r>
          </w:p>
        </w:tc>
      </w:tr>
      <w:tr>
        <w:trPr>
          <w:cantSplit/>
        </w:trPr>
        <w:tc>
          <w:tcPr>
            <w:tcW w:type="dxa" w:w="260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Cabeceras adicionales</w:t>
            </w:r>
          </w:p>
        </w:tc>
        <w:tc>
          <w:tcPr>
            <w:tcW w:type="dxa" w:w="6123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X-Content-Type-Options, Referrer-Policy, Permissions-Policy y protección contra framing.</w:t>
            </w:r>
          </w:p>
        </w:tc>
      </w:tr>
      <w:tr>
        <w:trPr>
          <w:cantSplit/>
        </w:trPr>
        <w:tc>
          <w:tcPr>
            <w:tcW w:type="dxa" w:w="2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Secretos de entorno</w:t>
            </w:r>
          </w:p>
        </w:tc>
        <w:tc>
          <w:tcPr>
            <w:tcW w:type="dxa" w:w="6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SUPABASE_SECRET_KEY y ACCESS_CODE_PEPPER solo en el servidor.</w:t>
            </w:r>
          </w:p>
        </w:tc>
      </w:tr>
    </w:tbl>
    <w:p>
      <w:pPr>
        <w:spacing w:after="20"/>
      </w:pPr>
    </w:p>
    <w:p>
      <w:pPr>
        <w:spacing w:before="80" w:after="160"/>
      </w:pPr>
      <w:r>
        <w:rPr>
          <w:rFonts w:ascii="Aptos" w:hAnsi="Aptos"/>
          <w:b/>
          <w:color w:val="17365D"/>
        </w:rPr>
        <w:t xml:space="preserve">Consideración de Word </w:t>
      </w:r>
      <w:r>
        <w:t>El visor de Microsoft recibe la URL firmada del archivo DOC o DOCX para representarlo. El enlace vence, pero el documento se procesa fuera de Supabase durante la visualización.</w:t>
      </w:r>
    </w:p>
    <w:p>
      <w:pPr>
        <w:pStyle w:val="Heading1"/>
      </w:pPr>
      <w:r>
        <w:t>Configuración y despliegue</w:t>
      </w:r>
    </w:p>
    <w:p>
      <w:pPr>
        <w:pStyle w:val="Heading2"/>
      </w:pPr>
      <w:r>
        <w:t>Variables de entorno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289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2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35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VITE_SUPABASE_URL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Cliente y servidor</w:t>
            </w:r>
          </w:p>
        </w:tc>
        <w:tc>
          <w:tcPr>
            <w:tcW w:type="dxa" w:w="35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URL HTTPS del proyecto Supabase.</w:t>
            </w:r>
          </w:p>
        </w:tc>
      </w:tr>
      <w:tr>
        <w:trPr>
          <w:cantSplit/>
        </w:trPr>
        <w:tc>
          <w:tcPr>
            <w:tcW w:type="dxa" w:w="289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VITE_SUPABASE_PUBLISHABLE_KEY</w:t>
            </w:r>
          </w:p>
        </w:tc>
        <w:tc>
          <w:tcPr>
            <w:tcW w:type="dxa" w:w="226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Cliente y servidor</w:t>
            </w:r>
          </w:p>
        </w:tc>
        <w:tc>
          <w:tcPr>
            <w:tcW w:type="dxa" w:w="35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Clave publicable protegida por RLS.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SUPABASE_SECRET_KEY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Solo servidor</w:t>
            </w:r>
          </w:p>
        </w:tc>
        <w:tc>
          <w:tcPr>
            <w:tcW w:type="dxa" w:w="35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Operaciones administrativas.</w:t>
            </w:r>
          </w:p>
        </w:tc>
      </w:tr>
      <w:tr>
        <w:trPr>
          <w:cantSplit/>
        </w:trPr>
        <w:tc>
          <w:tcPr>
            <w:tcW w:type="dxa" w:w="289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ACCESS_CODE_PEPPER</w:t>
            </w:r>
          </w:p>
        </w:tc>
        <w:tc>
          <w:tcPr>
            <w:tcW w:type="dxa" w:w="226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Solo servidor</w:t>
            </w:r>
          </w:p>
        </w:tc>
        <w:tc>
          <w:tcPr>
            <w:tcW w:type="dxa" w:w="357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Huella HMAC del control de intentos.</w:t>
            </w:r>
          </w:p>
        </w:tc>
      </w:tr>
    </w:tbl>
    <w:p>
      <w:pPr>
        <w:spacing w:after="20"/>
      </w:pPr>
    </w:p>
    <w:p>
      <w:pPr>
        <w:pStyle w:val="Heading2"/>
      </w:pPr>
      <w:r>
        <w:t>Preparación de Supabase</w:t>
      </w:r>
    </w:p>
    <w:p>
      <w:pPr>
        <w:keepNext/>
        <w:spacing w:after="80"/>
        <w:ind w:left="369" w:hanging="369"/>
      </w:pPr>
      <w:r>
        <w:t>1.  Crear o seleccionar el proyecto Supabase.</w:t>
      </w:r>
    </w:p>
    <w:p>
      <w:pPr>
        <w:keepNext/>
        <w:spacing w:after="80"/>
        <w:ind w:left="369" w:hanging="369"/>
      </w:pPr>
      <w:r>
        <w:t>2.  Configurar las variables locales y de Netlify.</w:t>
      </w:r>
    </w:p>
    <w:p>
      <w:pPr>
        <w:keepNext/>
        <w:spacing w:after="80"/>
        <w:ind w:left="369" w:hanging="369"/>
      </w:pPr>
      <w:r>
        <w:t>3.  Vincular Supabase CLI con el proyecto.</w:t>
      </w:r>
    </w:p>
    <w:p>
      <w:pPr>
        <w:keepNext/>
        <w:spacing w:after="80"/>
        <w:ind w:left="369" w:hanging="369"/>
      </w:pPr>
      <w:r>
        <w:t>4.  Ejecutar supabase db push para aplicar las migraciones en orden.</w:t>
      </w:r>
    </w:p>
    <w:p>
      <w:pPr>
        <w:keepNext/>
        <w:spacing w:after="80"/>
        <w:ind w:left="369" w:hanging="369"/>
      </w:pPr>
      <w:r>
        <w:t>5.  Cargar seed.sql si se requieren datos iniciales.</w:t>
      </w:r>
    </w:p>
    <w:p>
      <w:pPr>
        <w:keepNext/>
        <w:spacing w:after="80"/>
        <w:ind w:left="369" w:hanging="369"/>
      </w:pPr>
      <w:r>
        <w:t>6.  Ejecutar npm run provision:admin-user para crear la primera cuenta administradora.</w:t>
      </w:r>
    </w:p>
    <w:p>
      <w:pPr>
        <w:keepNext w:val="0"/>
        <w:spacing w:after="80"/>
        <w:ind w:left="369" w:hanging="369"/>
      </w:pPr>
      <w:r>
        <w:t>7.  Ejecutar npm run check:supabase-schema y revisar que todas las tablas, buckets y RPC respondan correctamente.</w:t>
      </w:r>
    </w:p>
    <w:p>
      <w:pPr>
        <w:pStyle w:val="Heading2"/>
      </w:pPr>
      <w:r>
        <w:t>Publicación en Netlify</w:t>
      </w:r>
    </w:p>
    <w:p>
      <w:pPr>
        <w:keepNext/>
        <w:spacing w:after="80"/>
        <w:ind w:left="369" w:hanging="369"/>
      </w:pPr>
      <w:r>
        <w:t>1.  Conectar el repositorio con Netlify.</w:t>
      </w:r>
    </w:p>
    <w:p>
      <w:pPr>
        <w:keepNext/>
        <w:spacing w:after="80"/>
        <w:ind w:left="369" w:hanging="369"/>
      </w:pPr>
      <w:r>
        <w:t>2.  Configurar las variables de entorno y marcar los secretos como valores protegidos.</w:t>
      </w:r>
    </w:p>
    <w:p>
      <w:pPr>
        <w:keepNext/>
        <w:spacing w:after="80"/>
        <w:ind w:left="369" w:hanging="369"/>
      </w:pPr>
      <w:r>
        <w:t>3.  Ejecutar npm run build. Netlify publica la carpeta dist.</w:t>
      </w:r>
    </w:p>
    <w:p>
      <w:pPr>
        <w:keepNext/>
        <w:spacing w:after="80"/>
        <w:ind w:left="369" w:hanging="369"/>
      </w:pPr>
      <w:r>
        <w:t>4.  Conservar la redirección de todas las rutas hacia index.html para el funcionamiento de la SPA.</w:t>
      </w:r>
    </w:p>
    <w:p>
      <w:pPr>
        <w:keepNext w:val="0"/>
        <w:spacing w:after="80"/>
        <w:ind w:left="369" w:hanging="369"/>
      </w:pPr>
      <w:r>
        <w:t>5.  Verificar las cabeceras definidas en netlify.toml después del despliegue.</w:t>
      </w:r>
    </w:p>
    <w:p>
      <w:pPr>
        <w:pStyle w:val="Heading1"/>
      </w:pPr>
      <w:r>
        <w:t>Pruebas y verificación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9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578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npm run build</w:t>
            </w:r>
          </w:p>
        </w:tc>
        <w:tc>
          <w:tcPr>
            <w:tcW w:type="dxa" w:w="578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Compilar la aplicación de producción y detectar errores de módulos o sintaxis.</w:t>
            </w:r>
          </w:p>
        </w:tc>
      </w:tr>
      <w:tr>
        <w:trPr>
          <w:cantSplit/>
        </w:trPr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npm run test:video-utils</w:t>
            </w:r>
          </w:p>
        </w:tc>
        <w:tc>
          <w:tcPr>
            <w:tcW w:type="dxa" w:w="5783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Validar utilidades de miniaturas y tiempos de video.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npm run test:autosave</w:t>
            </w:r>
          </w:p>
        </w:tc>
        <w:tc>
          <w:tcPr>
            <w:tcW w:type="dxa" w:w="578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Validar el control de revisiones y respuestas tardías.</w:t>
            </w:r>
          </w:p>
        </w:tc>
      </w:tr>
      <w:tr>
        <w:trPr>
          <w:cantSplit/>
        </w:trPr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npm run test:persistence</w:t>
            </w:r>
          </w:p>
        </w:tc>
        <w:tc>
          <w:tcPr>
            <w:tcW w:type="dxa" w:w="5783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Confirmar que el contenido depende de Supabase y que el guardado usa el flujo esperado.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npm run test:drive-import</w:t>
            </w:r>
          </w:p>
        </w:tc>
        <w:tc>
          <w:tcPr>
            <w:tcW w:type="dxa" w:w="578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Validar la lógica relacionada con la importación de Google Drive.</w:t>
            </w:r>
          </w:p>
        </w:tc>
      </w:tr>
      <w:tr>
        <w:trPr>
          <w:cantSplit/>
        </w:trPr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npm run check:supabase</w:t>
            </w:r>
          </w:p>
        </w:tc>
        <w:tc>
          <w:tcPr>
            <w:tcW w:type="dxa" w:w="5783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Comprobar la conexión y configuración básica.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npm run check:supabase-schema</w:t>
            </w:r>
          </w:p>
        </w:tc>
        <w:tc>
          <w:tcPr>
            <w:tcW w:type="dxa" w:w="578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Verificar tablas, buckets y RPC requeridos en el proyecto remoto.</w:t>
            </w:r>
          </w:p>
        </w:tc>
      </w:tr>
    </w:tbl>
    <w:p>
      <w:pPr>
        <w:spacing w:after="20"/>
      </w:pPr>
    </w:p>
    <w:p>
      <w:pPr>
        <w:pStyle w:val="Heading2"/>
      </w:pPr>
      <w:r>
        <w:t>Prueba funcional recomendada</w:t>
      </w:r>
    </w:p>
    <w:p>
      <w:pPr>
        <w:keepNext/>
        <w:spacing w:after="80"/>
        <w:ind w:left="369" w:hanging="369"/>
      </w:pPr>
      <w:r>
        <w:t>1.  Iniciar sesión como administrador.</w:t>
      </w:r>
    </w:p>
    <w:p>
      <w:pPr>
        <w:keepNext/>
        <w:spacing w:after="80"/>
        <w:ind w:left="369" w:hanging="369"/>
      </w:pPr>
      <w:r>
        <w:t>2.  Crear una sección visible para un rol y esperar el guardado.</w:t>
      </w:r>
    </w:p>
    <w:p>
      <w:pPr>
        <w:keepNext/>
        <w:spacing w:after="80"/>
        <w:ind w:left="369" w:hanging="369"/>
      </w:pPr>
      <w:r>
        <w:t>3.  Publicar un video con cuestionario y comprobar su reproducción con una cuenta del rol asignado.</w:t>
      </w:r>
    </w:p>
    <w:p>
      <w:pPr>
        <w:keepNext/>
        <w:spacing w:after="80"/>
        <w:ind w:left="369" w:hanging="369"/>
      </w:pPr>
      <w:r>
        <w:t>4.  Completar el video, responder el cuestionario y verificar el resultado en Progreso.</w:t>
      </w:r>
    </w:p>
    <w:p>
      <w:pPr>
        <w:keepNext/>
        <w:spacing w:after="80"/>
        <w:ind w:left="369" w:hanging="369"/>
      </w:pPr>
      <w:r>
        <w:t>5.  Crear una sección Solo documentos, subir un PDF y un DOCX y abrirlos con una cuenta autorizada.</w:t>
      </w:r>
    </w:p>
    <w:p>
      <w:pPr>
        <w:keepNext/>
        <w:spacing w:after="80"/>
        <w:ind w:left="369" w:hanging="369"/>
      </w:pPr>
      <w:r>
        <w:t>6.  Renombrar y eliminar los documentos. Confirmar que ya no aparecen ni dejan objetos en Storage.</w:t>
      </w:r>
    </w:p>
    <w:p>
      <w:pPr>
        <w:keepNext w:val="0"/>
        <w:spacing w:after="80"/>
        <w:ind w:left="369" w:hanging="369"/>
      </w:pPr>
      <w:r>
        <w:t>7.  Desactivar la cuenta de prueba y confirmar que ya no puede iniciar una nueva sesión.</w:t>
      </w:r>
    </w:p>
    <w:p>
      <w:pPr>
        <w:pStyle w:val="Heading1"/>
      </w:pPr>
      <w:r>
        <w:t>Mantenimiento y recuperación</w:t>
      </w:r>
    </w:p>
    <w:p>
      <w:pPr>
        <w:pStyle w:val="ListBullet"/>
        <w:spacing w:after="30"/>
      </w:pPr>
      <w:r>
        <w:t>Crear una migración nueva para cada cambio de esquema. No editar migraciones que ya fueron aplicadas en producción.</w:t>
      </w:r>
    </w:p>
    <w:p>
      <w:pPr>
        <w:pStyle w:val="ListBullet"/>
        <w:spacing w:after="30"/>
      </w:pPr>
      <w:r>
        <w:t>Ejecutar el build y todas las pruebas antes de desplegar.</w:t>
      </w:r>
    </w:p>
    <w:p>
      <w:pPr>
        <w:pStyle w:val="ListBullet"/>
        <w:spacing w:after="30"/>
      </w:pPr>
      <w:r>
        <w:t>Revisar los registros de Netlify Functions y Supabase ante errores de acceso o guardado.</w:t>
      </w:r>
    </w:p>
    <w:p>
      <w:pPr>
        <w:pStyle w:val="ListBullet"/>
        <w:spacing w:after="30"/>
      </w:pPr>
      <w:r>
        <w:t>Mantener copias de seguridad y practicar la restauración de PostgreSQL y Storage según la política de la organización.</w:t>
      </w:r>
    </w:p>
    <w:p>
      <w:pPr>
        <w:pStyle w:val="ListBullet"/>
        <w:spacing w:after="30"/>
      </w:pPr>
      <w:r>
        <w:t>Rotar claves secretas si existe sospecha de exposición y volver a desplegar Netlify.</w:t>
      </w:r>
    </w:p>
    <w:p>
      <w:pPr>
        <w:pStyle w:val="ListBullet"/>
        <w:spacing w:after="30"/>
      </w:pPr>
      <w:r>
        <w:t>Comprobar periódicamente archivos sin referencia y registros cuyo objeto ya no exista.</w:t>
      </w:r>
    </w:p>
    <w:p>
      <w:pPr>
        <w:pStyle w:val="ListBullet"/>
        <w:spacing w:after="30"/>
      </w:pPr>
      <w:r>
        <w:t>Validar CSP cuando se añada un nuevo proveedor de video o visor externo.</w:t>
      </w:r>
    </w:p>
    <w:p>
      <w:pPr>
        <w:pStyle w:val="Heading2"/>
      </w:pPr>
      <w:r>
        <w:t>Procedimiento ante un fallo de guardado</w:t>
      </w:r>
    </w:p>
    <w:p>
      <w:pPr>
        <w:keepNext/>
        <w:spacing w:after="80"/>
        <w:ind w:left="369" w:hanging="369"/>
      </w:pPr>
      <w:r>
        <w:t>1.  No repita cambios de forma continua. Registre el mensaje mostrado por la interfaz.</w:t>
      </w:r>
    </w:p>
    <w:p>
      <w:pPr>
        <w:keepNext/>
        <w:spacing w:after="80"/>
        <w:ind w:left="369" w:hanging="369"/>
      </w:pPr>
      <w:r>
        <w:t>2.  Compruebe el estado de Supabase y Netlify y revise sus registros.</w:t>
      </w:r>
    </w:p>
    <w:p>
      <w:pPr>
        <w:keepNext/>
        <w:spacing w:after="80"/>
        <w:ind w:left="369" w:hanging="369"/>
      </w:pPr>
      <w:r>
        <w:t>3.  Ejecute las comprobaciones de conexión y esquema.</w:t>
      </w:r>
    </w:p>
    <w:p>
      <w:pPr>
        <w:keepNext/>
        <w:spacing w:after="80"/>
        <w:ind w:left="369" w:hanging="369"/>
      </w:pPr>
      <w:r>
        <w:t>4.  Confirme que las migraciones necesarias estén aplicadas.</w:t>
      </w:r>
    </w:p>
    <w:p>
      <w:pPr>
        <w:keepNext/>
        <w:spacing w:after="80"/>
        <w:ind w:left="369" w:hanging="369"/>
      </w:pPr>
      <w:r>
        <w:t>5.  Si existe un conflicto de revisión, recargue la información guardada antes de repetir la modificación.</w:t>
      </w:r>
    </w:p>
    <w:p>
      <w:pPr>
        <w:keepNext w:val="0"/>
        <w:spacing w:after="80"/>
        <w:ind w:left="369" w:hanging="369"/>
      </w:pPr>
      <w:r>
        <w:t>6.  Verifique el resultado con una cuenta del rol afectado.</w:t>
      </w:r>
    </w:p>
    <w:p>
      <w:pPr>
        <w:pStyle w:val="Heading1"/>
      </w:pPr>
      <w:r>
        <w:t>Limitaciones y decisiones técnicas</w:t>
      </w:r>
    </w:p>
    <w:p>
      <w:pPr>
        <w:pStyle w:val="ListBullet"/>
        <w:spacing w:after="30"/>
      </w:pPr>
      <w:r>
        <w:t>La aplicación es una SPA; depende de JavaScript y de la disponibilidad de Supabase para cargar contenido.</w:t>
      </w:r>
    </w:p>
    <w:p>
      <w:pPr>
        <w:pStyle w:val="ListBullet"/>
        <w:spacing w:after="30"/>
      </w:pPr>
      <w:r>
        <w:t>Los enlaces públicos de proveedores externos conservan las condiciones de privacidad del proveedor original.</w:t>
      </w:r>
    </w:p>
    <w:p>
      <w:pPr>
        <w:pStyle w:val="ListBullet"/>
        <w:spacing w:after="30"/>
      </w:pPr>
      <w:r>
        <w:t>La visualización de Word depende de Office Viewer y de su disponibilidad en Internet.</w:t>
      </w:r>
    </w:p>
    <w:p>
      <w:pPr>
        <w:pStyle w:val="ListBullet"/>
        <w:spacing w:after="30"/>
      </w:pPr>
      <w:r>
        <w:t>El guardado general usa snapshots versionados; los documentos utilizan operaciones directas de Storage y tabla con compensación cuando falla el segundo paso.</w:t>
      </w:r>
    </w:p>
    <w:p>
      <w:pPr>
        <w:pStyle w:val="ListBullet"/>
        <w:spacing w:after="30"/>
      </w:pPr>
      <w:r>
        <w:t>El tamaño del paquete de producción incluye dependencias grandes como ExcelJS. Puede reducirse mediante carga dinámica si el rendimiento inicial lo requiere.</w:t>
      </w:r>
    </w:p>
    <w:p>
      <w:pPr>
        <w:pStyle w:val="ListBullet"/>
        <w:spacing w:after="30"/>
      </w:pPr>
      <w:r>
        <w:t>La migración de documentos restringe la eliminación de secciones con archivos, lo que prioriza la integridad frente a la eliminación automática en cascada.</w:t>
      </w:r>
    </w:p>
    <w:p>
      <w:pPr>
        <w:pStyle w:val="Heading1"/>
      </w:pPr>
      <w:r>
        <w:t>Lista de control para entregar una versión</w:t>
      </w:r>
    </w:p>
    <w:p>
      <w:pPr>
        <w:pStyle w:val="ListBullet"/>
        <w:spacing w:after="30"/>
      </w:pPr>
      <w:r>
        <w:t>El build de producción termina sin errores.</w:t>
      </w:r>
    </w:p>
    <w:p>
      <w:pPr>
        <w:pStyle w:val="ListBullet"/>
        <w:spacing w:after="30"/>
      </w:pPr>
      <w:r>
        <w:t>Todas las pruebas automatizadas pasan.</w:t>
      </w:r>
    </w:p>
    <w:p>
      <w:pPr>
        <w:pStyle w:val="ListBullet"/>
        <w:spacing w:after="30"/>
      </w:pPr>
      <w:r>
        <w:t>Las migraciones nuevas fueron revisadas y aplicadas.</w:t>
      </w:r>
    </w:p>
    <w:p>
      <w:pPr>
        <w:pStyle w:val="ListBullet"/>
        <w:spacing w:after="30"/>
      </w:pPr>
      <w:r>
        <w:t>Las tablas, buckets y RPC remotos responden correctamente.</w:t>
      </w:r>
    </w:p>
    <w:p>
      <w:pPr>
        <w:pStyle w:val="ListBullet"/>
        <w:spacing w:after="30"/>
      </w:pPr>
      <w:r>
        <w:t>Las variables de entorno están completas y los secretos no aparecen en el cliente.</w:t>
      </w:r>
    </w:p>
    <w:p>
      <w:pPr>
        <w:pStyle w:val="ListBullet"/>
        <w:spacing w:after="30"/>
      </w:pPr>
      <w:r>
        <w:t>Los tres roles fueron probados con cuentas separadas.</w:t>
      </w:r>
    </w:p>
    <w:p>
      <w:pPr>
        <w:pStyle w:val="ListBullet"/>
        <w:spacing w:after="30"/>
      </w:pPr>
      <w:r>
        <w:t>Los videos, cuestionarios, documentos y progreso funcionan de extremo a extremo.</w:t>
      </w:r>
    </w:p>
    <w:p>
      <w:pPr>
        <w:pStyle w:val="ListBullet"/>
        <w:spacing w:after="30"/>
      </w:pPr>
      <w:r>
        <w:t>Las cabeceras de seguridad permiten solo los proveedores requeridos.</w:t>
      </w:r>
    </w:p>
    <w:p>
      <w:pPr>
        <w:pStyle w:val="ListBullet"/>
        <w:spacing w:after="30"/>
      </w:pPr>
      <w:r>
        <w:t>Existe un procedimiento de reversión y respaldo antes del despliegue.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 xml:space="preserve">Aurea Video Hub   |   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color w:val="666666"/>
        <w:sz w:val="16"/>
      </w:rPr>
      <w:t>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