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EE0B" w14:textId="77777777" w:rsidR="00B2202F" w:rsidRDefault="00B2202F" w:rsidP="000C25C0">
      <w:pPr>
        <w:rPr>
          <w:szCs w:val="24"/>
        </w:rPr>
      </w:pPr>
      <w:bookmarkStart w:id="0" w:name="_Hlk23167818"/>
    </w:p>
    <w:p w14:paraId="766CB73A" w14:textId="7DD47802" w:rsidR="00586FD4" w:rsidRDefault="000C25C0" w:rsidP="000C25C0">
      <w:pPr>
        <w:rPr>
          <w:szCs w:val="24"/>
        </w:rPr>
      </w:pPr>
      <w:r>
        <w:rPr>
          <w:szCs w:val="24"/>
        </w:rPr>
        <w:t xml:space="preserve">The main part of the research was a </w:t>
      </w:r>
      <w:r w:rsidR="00B2202F">
        <w:t xml:space="preserve">retrospective </w:t>
      </w:r>
      <w:r>
        <w:rPr>
          <w:szCs w:val="24"/>
        </w:rPr>
        <w:t>case-</w:t>
      </w:r>
      <w:r w:rsidR="0021458C">
        <w:rPr>
          <w:szCs w:val="24"/>
        </w:rPr>
        <w:t>case</w:t>
      </w:r>
      <w:r>
        <w:rPr>
          <w:szCs w:val="24"/>
        </w:rPr>
        <w:t xml:space="preserve"> study of all available</w:t>
      </w:r>
      <w:r w:rsidR="00586FD4">
        <w:rPr>
          <w:szCs w:val="24"/>
        </w:rPr>
        <w:t xml:space="preserve"> adult</w:t>
      </w:r>
      <w:r>
        <w:rPr>
          <w:szCs w:val="24"/>
        </w:rPr>
        <w:t xml:space="preserve"> </w:t>
      </w:r>
      <w:r w:rsidRPr="00A12113">
        <w:rPr>
          <w:szCs w:val="24"/>
        </w:rPr>
        <w:t>cases</w:t>
      </w:r>
      <w:r>
        <w:rPr>
          <w:szCs w:val="24"/>
        </w:rPr>
        <w:t xml:space="preserve"> of acute hepatitis E</w:t>
      </w:r>
      <w:r w:rsidR="00586FD4">
        <w:rPr>
          <w:szCs w:val="24"/>
        </w:rPr>
        <w:t xml:space="preserve"> and </w:t>
      </w:r>
      <w:proofErr w:type="spellStart"/>
      <w:r w:rsidR="00586FD4">
        <w:rPr>
          <w:szCs w:val="24"/>
        </w:rPr>
        <w:t>A</w:t>
      </w:r>
      <w:proofErr w:type="spellEnd"/>
      <w:r>
        <w:rPr>
          <w:szCs w:val="24"/>
        </w:rPr>
        <w:t xml:space="preserve"> </w:t>
      </w:r>
      <w:r w:rsidR="00586FD4">
        <w:rPr>
          <w:szCs w:val="24"/>
        </w:rPr>
        <w:t xml:space="preserve">admitted </w:t>
      </w:r>
      <w:r w:rsidR="00B2202F">
        <w:rPr>
          <w:szCs w:val="24"/>
        </w:rPr>
        <w:t>i</w:t>
      </w:r>
      <w:r w:rsidR="00B2202F">
        <w:t xml:space="preserve">n </w:t>
      </w:r>
      <w:r w:rsidR="00B2202F">
        <w:rPr>
          <w:szCs w:val="24"/>
        </w:rPr>
        <w:t>The Teaching Hospital of Infectious Diseases of Cluj-Napoca, Romania, b</w:t>
      </w:r>
      <w:r>
        <w:rPr>
          <w:szCs w:val="24"/>
        </w:rPr>
        <w:t>etween 2017 January 1 and 2019 August 30</w:t>
      </w:r>
      <w:r w:rsidR="00B2202F">
        <w:rPr>
          <w:szCs w:val="24"/>
        </w:rPr>
        <w:t>.</w:t>
      </w:r>
    </w:p>
    <w:p w14:paraId="621CDCB1" w14:textId="59690674" w:rsidR="00B2202F" w:rsidRDefault="00B2202F" w:rsidP="00B2202F">
      <w:pPr>
        <w:rPr>
          <w:szCs w:val="24"/>
        </w:rPr>
      </w:pPr>
      <w:r>
        <w:rPr>
          <w:szCs w:val="24"/>
        </w:rPr>
        <w:t xml:space="preserve">Hepatitis A was chosen due to similar (mainly enteral) transmission and usually self-limited evolution.  Since hepatitis E is not common in children, we decided to only include adult patients.  </w:t>
      </w:r>
    </w:p>
    <w:p w14:paraId="4EFAD689" w14:textId="2D298721" w:rsidR="003309E8" w:rsidRDefault="003309E8" w:rsidP="000C25C0">
      <w:pPr>
        <w:rPr>
          <w:szCs w:val="24"/>
        </w:rPr>
      </w:pPr>
      <w:r>
        <w:rPr>
          <w:szCs w:val="24"/>
        </w:rPr>
        <w:t>Inclusion criteria were defined as a diagnosis of acute hepatitis E or A at discharge (ICM10 codes: B17.2 and B</w:t>
      </w:r>
      <w:proofErr w:type="gramStart"/>
      <w:r>
        <w:rPr>
          <w:szCs w:val="24"/>
        </w:rPr>
        <w:t>15.*</w:t>
      </w:r>
      <w:proofErr w:type="gramEnd"/>
      <w:r>
        <w:rPr>
          <w:szCs w:val="24"/>
        </w:rPr>
        <w:t xml:space="preserve">, respectively), admission date </w:t>
      </w:r>
      <w:r w:rsidR="00691D72">
        <w:rPr>
          <w:szCs w:val="24"/>
        </w:rPr>
        <w:t>between 2017 January 1 and 2019 August 30 and age &gt; 18 years old. No specific exclusion criteria were used.</w:t>
      </w:r>
    </w:p>
    <w:p w14:paraId="1BF693CB" w14:textId="3ABBC7AB" w:rsidR="003309E8" w:rsidRDefault="003309E8" w:rsidP="003309E8">
      <w:pPr>
        <w:rPr>
          <w:szCs w:val="24"/>
        </w:rPr>
      </w:pPr>
      <w:r>
        <w:rPr>
          <w:szCs w:val="24"/>
        </w:rPr>
        <w:t xml:space="preserve">All clinical departments within our hospital were considered similar regarding diagnosis and management of the patients and the judgment of all doctors assigned to each patient was considered equivalent. We gathered information on </w:t>
      </w:r>
      <w:commentRangeStart w:id="1"/>
      <w:r>
        <w:rPr>
          <w:szCs w:val="24"/>
        </w:rPr>
        <w:t xml:space="preserve">laboratory parameters </w:t>
      </w:r>
      <w:commentRangeEnd w:id="1"/>
      <w:r>
        <w:rPr>
          <w:rStyle w:val="CommentReference"/>
        </w:rPr>
        <w:commentReference w:id="1"/>
      </w:r>
      <w:r>
        <w:rPr>
          <w:szCs w:val="24"/>
        </w:rPr>
        <w:t xml:space="preserve">at admission (total and direct bilirubin, INR, prothrombin index, ALT, AST, </w:t>
      </w:r>
      <w:r w:rsidR="00641111">
        <w:rPr>
          <w:szCs w:val="24"/>
        </w:rPr>
        <w:t>γ-GT</w:t>
      </w:r>
      <w:r w:rsidR="00641111">
        <w:rPr>
          <w:szCs w:val="24"/>
        </w:rPr>
        <w:t xml:space="preserve"> </w:t>
      </w:r>
      <w:r>
        <w:rPr>
          <w:szCs w:val="24"/>
        </w:rPr>
        <w:t>and ALP), final diagnosis and doctors’ description of each patient’s presentation and evolutio</w:t>
      </w:r>
      <w:r w:rsidR="00A63ED7">
        <w:rPr>
          <w:szCs w:val="24"/>
        </w:rPr>
        <w:t>n</w:t>
      </w:r>
      <w:r>
        <w:rPr>
          <w:szCs w:val="24"/>
        </w:rPr>
        <w:t>.</w:t>
      </w:r>
      <w:r w:rsidR="00A63ED7">
        <w:rPr>
          <w:szCs w:val="24"/>
        </w:rPr>
        <w:t xml:space="preserve"> </w:t>
      </w:r>
    </w:p>
    <w:p w14:paraId="29287481" w14:textId="7E7499D3" w:rsidR="00AB5A00" w:rsidRDefault="00800D42" w:rsidP="00AB5A00">
      <w:pPr>
        <w:rPr>
          <w:szCs w:val="24"/>
        </w:rPr>
      </w:pPr>
      <w:r>
        <w:rPr>
          <w:szCs w:val="24"/>
        </w:rPr>
        <w:t>The etiology of  h</w:t>
      </w:r>
      <w:r w:rsidR="00AB5A00">
        <w:rPr>
          <w:szCs w:val="24"/>
        </w:rPr>
        <w:t xml:space="preserve">epatitis A and E </w:t>
      </w:r>
      <w:r>
        <w:rPr>
          <w:szCs w:val="24"/>
        </w:rPr>
        <w:t>was</w:t>
      </w:r>
      <w:r w:rsidR="00AB5A00">
        <w:rPr>
          <w:szCs w:val="24"/>
        </w:rPr>
        <w:t xml:space="preserve"> </w:t>
      </w:r>
      <w:r>
        <w:rPr>
          <w:szCs w:val="24"/>
        </w:rPr>
        <w:t xml:space="preserve">established from </w:t>
      </w:r>
      <w:r w:rsidR="00AB5A00">
        <w:rPr>
          <w:szCs w:val="24"/>
        </w:rPr>
        <w:t xml:space="preserve">blood samples by qualitative anti-HAV and anti-HEV IgM respectively using </w:t>
      </w:r>
      <w:proofErr w:type="spellStart"/>
      <w:r w:rsidR="00AB5A00">
        <w:rPr>
          <w:i/>
          <w:iCs/>
          <w:szCs w:val="24"/>
        </w:rPr>
        <w:t>bioMérieux</w:t>
      </w:r>
      <w:proofErr w:type="spellEnd"/>
      <w:r w:rsidR="00AB5A00">
        <w:rPr>
          <w:i/>
          <w:iCs/>
          <w:szCs w:val="24"/>
        </w:rPr>
        <w:t xml:space="preserve"> VIDAS® Hepatitis panel</w:t>
      </w:r>
      <w:r w:rsidR="00AB5A00">
        <w:rPr>
          <w:szCs w:val="24"/>
        </w:rPr>
        <w:t xml:space="preserve"> </w:t>
      </w:r>
      <w:commentRangeStart w:id="2"/>
      <w:r w:rsidR="00AB5A00">
        <w:rPr>
          <w:szCs w:val="24"/>
        </w:rPr>
        <w:t xml:space="preserve">electrochemiluminescence </w:t>
      </w:r>
      <w:commentRangeEnd w:id="2"/>
      <w:r w:rsidR="00AB5A00">
        <w:rPr>
          <w:rStyle w:val="CommentReference"/>
        </w:rPr>
        <w:commentReference w:id="2"/>
      </w:r>
      <w:r w:rsidR="00AB5A00">
        <w:rPr>
          <w:szCs w:val="24"/>
        </w:rPr>
        <w:t xml:space="preserve">immunoassays </w:t>
      </w:r>
      <w:r w:rsidR="00AB5A00">
        <w:rPr>
          <w:szCs w:val="24"/>
        </w:rPr>
        <w:fldChar w:fldCharType="begin"/>
      </w:r>
      <w:r w:rsidR="000E796C">
        <w:rPr>
          <w:szCs w:val="24"/>
        </w:rPr>
        <w:instrText xml:space="preserve"> ADDIN ZOTERO_ITEM CSL_CITATION {"citationID":"ffjwbcZV","properties":{"formattedCitation":"[1]","plainCitation":"[1]","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sidR="00AB5A00">
        <w:rPr>
          <w:szCs w:val="24"/>
        </w:rPr>
        <w:fldChar w:fldCharType="separate"/>
      </w:r>
      <w:r w:rsidR="000E796C" w:rsidRPr="000E796C">
        <w:t>[1]</w:t>
      </w:r>
      <w:r w:rsidR="00AB5A00">
        <w:rPr>
          <w:szCs w:val="24"/>
        </w:rPr>
        <w:fldChar w:fldCharType="end"/>
      </w:r>
      <w:r w:rsidR="00AB5A00">
        <w:rPr>
          <w:szCs w:val="24"/>
        </w:rPr>
        <w:t xml:space="preserve">.  According to our hospital’s protocol, </w:t>
      </w:r>
      <w:r w:rsidR="00390379">
        <w:rPr>
          <w:szCs w:val="24"/>
        </w:rPr>
        <w:t xml:space="preserve">valid since 2016 and during the whole study period, all suspected cases of acute viral hepatitis were tested simultaneously for hepatitis A – E </w:t>
      </w:r>
      <w:r>
        <w:rPr>
          <w:szCs w:val="24"/>
        </w:rPr>
        <w:t>from</w:t>
      </w:r>
      <w:r w:rsidR="00390379">
        <w:rPr>
          <w:szCs w:val="24"/>
        </w:rPr>
        <w:t xml:space="preserve"> the same blood sample as a single laboratory request.</w:t>
      </w:r>
    </w:p>
    <w:p w14:paraId="195BA24F" w14:textId="1EFA4AC8" w:rsidR="00033300" w:rsidRDefault="00033300" w:rsidP="000C25C0">
      <w:pPr>
        <w:rPr>
          <w:szCs w:val="24"/>
        </w:rPr>
      </w:pPr>
      <w:r>
        <w:rPr>
          <w:szCs w:val="24"/>
        </w:rPr>
        <w:t>To put the main study into context, we counted all confirmed cases of acute viral hepatitis A-E</w:t>
      </w:r>
      <w:r w:rsidR="00C471C4">
        <w:rPr>
          <w:szCs w:val="24"/>
        </w:rPr>
        <w:t xml:space="preserve"> IMC10 codes B15-B17</w:t>
      </w:r>
      <w:r w:rsidR="002C7F8E">
        <w:rPr>
          <w:szCs w:val="24"/>
        </w:rPr>
        <w:t>.2</w:t>
      </w:r>
      <w:r w:rsidR="00C471C4">
        <w:rPr>
          <w:szCs w:val="24"/>
        </w:rPr>
        <w:t>)</w:t>
      </w:r>
      <w:r>
        <w:rPr>
          <w:szCs w:val="24"/>
        </w:rPr>
        <w:t>, of all ages, registered in our hospital during the same period.</w:t>
      </w:r>
    </w:p>
    <w:p w14:paraId="13DA32C7" w14:textId="13A7D3CA" w:rsidR="000C25C0" w:rsidRDefault="00033300" w:rsidP="000C25C0">
      <w:pPr>
        <w:rPr>
          <w:szCs w:val="24"/>
        </w:rPr>
      </w:pPr>
      <w:r>
        <w:rPr>
          <w:szCs w:val="24"/>
        </w:rPr>
        <w:t xml:space="preserve">We further investigated the severe cases of both hepatitis E and A within the main study as case series. </w:t>
      </w:r>
      <w:r w:rsidRPr="00033300">
        <w:rPr>
          <w:i/>
          <w:iCs/>
          <w:szCs w:val="24"/>
        </w:rPr>
        <w:t>We defined</w:t>
      </w:r>
      <w:r>
        <w:rPr>
          <w:szCs w:val="24"/>
        </w:rPr>
        <w:t xml:space="preserve"> </w:t>
      </w:r>
      <w:commentRangeStart w:id="3"/>
      <w:r>
        <w:rPr>
          <w:szCs w:val="24"/>
        </w:rPr>
        <w:t>severe case</w:t>
      </w:r>
      <w:commentRangeEnd w:id="3"/>
      <w:r>
        <w:rPr>
          <w:rStyle w:val="CommentReference"/>
        </w:rPr>
        <w:commentReference w:id="3"/>
      </w:r>
      <w:r w:rsidR="00CE1579">
        <w:rPr>
          <w:szCs w:val="24"/>
        </w:rPr>
        <w:t>s</w:t>
      </w:r>
      <w:r>
        <w:rPr>
          <w:szCs w:val="24"/>
        </w:rPr>
        <w:t xml:space="preserve"> of hepatitis E if INR &gt;1.5, hepatic encephalopathy grades 2-4 and/or comorbidities (acute-on-chronic liver disease, confirmed immunosuppression) or neurological manifestations were found (according to EASL guideline 2018</w:t>
      </w:r>
      <w:r w:rsidR="00AF09CC">
        <w:rPr>
          <w:szCs w:val="24"/>
        </w:rPr>
        <w:t xml:space="preserve"> and our hospital’s protocol</w:t>
      </w:r>
      <w:r>
        <w:rPr>
          <w:szCs w:val="24"/>
        </w:rPr>
        <w:t xml:space="preserve">) </w:t>
      </w:r>
      <w:r>
        <w:rPr>
          <w:szCs w:val="24"/>
        </w:rPr>
        <w:fldChar w:fldCharType="begin"/>
      </w:r>
      <w:r w:rsidR="000E796C">
        <w:rPr>
          <w:szCs w:val="24"/>
        </w:rPr>
        <w:instrText xml:space="preserve"> ADDIN ZOTERO_ITEM CSL_CITATION {"citationID":"qq3lgqGN","properties":{"formattedCitation":"[2]","plainCitation":"[2]","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0E796C" w:rsidRPr="000E796C">
        <w:t>[2]</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t>
      </w:r>
      <w:r w:rsidRPr="00033300">
        <w:rPr>
          <w:i/>
          <w:iCs/>
          <w:szCs w:val="24"/>
        </w:rPr>
        <w:t>We defined</w:t>
      </w:r>
      <w:r>
        <w:rPr>
          <w:szCs w:val="24"/>
        </w:rPr>
        <w:t xml:space="preserve"> </w:t>
      </w:r>
      <w:commentRangeStart w:id="4"/>
      <w:r>
        <w:rPr>
          <w:szCs w:val="24"/>
        </w:rPr>
        <w:t>severe cases</w:t>
      </w:r>
      <w:commentRangeEnd w:id="4"/>
      <w:r>
        <w:rPr>
          <w:rStyle w:val="CommentReference"/>
        </w:rPr>
        <w:commentReference w:id="4"/>
      </w:r>
      <w:r>
        <w:rPr>
          <w:szCs w:val="24"/>
        </w:rPr>
        <w:t xml:space="preserve"> of hepatitis A if INR &gt;1.5, hepatic encephalopathy grades 2-4 were </w:t>
      </w:r>
      <w:r w:rsidRPr="001F23E0">
        <w:rPr>
          <w:szCs w:val="24"/>
        </w:rPr>
        <w:t>present</w:t>
      </w:r>
      <w:r w:rsidR="00AF09CC" w:rsidRPr="001F23E0">
        <w:rPr>
          <w:szCs w:val="24"/>
        </w:rPr>
        <w:t xml:space="preserve"> (according to </w:t>
      </w:r>
      <w:r w:rsidR="004D2244" w:rsidRPr="001F23E0">
        <w:rPr>
          <w:szCs w:val="24"/>
        </w:rPr>
        <w:t xml:space="preserve">EASL 2016 guidelines and </w:t>
      </w:r>
      <w:r w:rsidR="00AF09CC" w:rsidRPr="001F23E0">
        <w:rPr>
          <w:szCs w:val="24"/>
        </w:rPr>
        <w:t xml:space="preserve">our hospital’s protocol) </w:t>
      </w:r>
      <w:r w:rsidR="000E796C" w:rsidRPr="001F23E0">
        <w:rPr>
          <w:szCs w:val="24"/>
        </w:rPr>
        <w:fldChar w:fldCharType="begin"/>
      </w:r>
      <w:r w:rsidR="000E796C" w:rsidRPr="001F23E0">
        <w:rPr>
          <w:szCs w:val="24"/>
        </w:rPr>
        <w:instrText xml:space="preserve"> ADDIN ZOTERO_ITEM CSL_CITATION {"citationID":"DVFfnfoo","properties":{"formattedCitation":"[3]","plainCitation":"[3]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sidR="000E796C" w:rsidRPr="001F23E0">
        <w:rPr>
          <w:szCs w:val="24"/>
        </w:rPr>
        <w:fldChar w:fldCharType="separate"/>
      </w:r>
      <w:r w:rsidR="000E796C" w:rsidRPr="001F23E0">
        <w:t>[3]</w:t>
      </w:r>
      <w:r w:rsidR="000E796C" w:rsidRPr="001F23E0">
        <w:rPr>
          <w:szCs w:val="24"/>
        </w:rPr>
        <w:fldChar w:fldCharType="end"/>
      </w:r>
      <w:r w:rsidR="001F23E0" w:rsidRPr="001F23E0">
        <w:rPr>
          <w:szCs w:val="24"/>
        </w:rPr>
        <w:t>.</w:t>
      </w:r>
      <w:r w:rsidRPr="001F23E0">
        <w:rPr>
          <w:szCs w:val="24"/>
        </w:rPr>
        <w:t xml:space="preserve"> The therapeutic approach for these patients wa</w:t>
      </w:r>
      <w:r>
        <w:rPr>
          <w:szCs w:val="24"/>
        </w:rPr>
        <w:t xml:space="preserve">s supportive treatment </w:t>
      </w:r>
      <w:r>
        <w:rPr>
          <w:i/>
          <w:iCs/>
          <w:szCs w:val="24"/>
        </w:rPr>
        <w:t>plus</w:t>
      </w:r>
      <w:r>
        <w:rPr>
          <w:szCs w:val="24"/>
        </w:rPr>
        <w:t xml:space="preserve"> plasma products. </w:t>
      </w:r>
      <w:r w:rsidR="00964EBA">
        <w:rPr>
          <w:szCs w:val="24"/>
        </w:rPr>
        <w:t>Therefore, a</w:t>
      </w:r>
      <w:r>
        <w:rPr>
          <w:szCs w:val="24"/>
        </w:rPr>
        <w:t xml:space="preserve">ll patients received appropriate </w:t>
      </w:r>
      <w:commentRangeStart w:id="5"/>
      <w:r>
        <w:rPr>
          <w:szCs w:val="24"/>
        </w:rPr>
        <w:t>supportive treatment</w:t>
      </w:r>
      <w:commentRangeEnd w:id="5"/>
      <w:r>
        <w:rPr>
          <w:rStyle w:val="CommentReference"/>
        </w:rPr>
        <w:commentReference w:id="5"/>
      </w:r>
      <w:r>
        <w:rPr>
          <w:szCs w:val="24"/>
        </w:rPr>
        <w:t xml:space="preserve"> acc</w:t>
      </w:r>
      <w:bookmarkStart w:id="6" w:name="_GoBack"/>
      <w:bookmarkEnd w:id="6"/>
      <w:r>
        <w:rPr>
          <w:szCs w:val="24"/>
        </w:rPr>
        <w:t>ording to our hospital</w:t>
      </w:r>
      <w:r w:rsidR="00964EBA">
        <w:rPr>
          <w:szCs w:val="24"/>
        </w:rPr>
        <w:t>’s</w:t>
      </w:r>
      <w:r>
        <w:rPr>
          <w:szCs w:val="24"/>
        </w:rPr>
        <w:t xml:space="preserve"> protocols and </w:t>
      </w:r>
      <w:commentRangeStart w:id="7"/>
      <w:r>
        <w:rPr>
          <w:szCs w:val="24"/>
        </w:rPr>
        <w:t>general recommendations</w:t>
      </w:r>
      <w:commentRangeEnd w:id="7"/>
      <w:r>
        <w:rPr>
          <w:rStyle w:val="CommentReference"/>
        </w:rPr>
        <w:commentReference w:id="7"/>
      </w:r>
      <w:r w:rsidR="00875D92">
        <w:rPr>
          <w:szCs w:val="24"/>
        </w:rPr>
        <w:t>, as needed</w:t>
      </w:r>
      <w:r w:rsidR="00ED017C">
        <w:rPr>
          <w:szCs w:val="24"/>
        </w:rPr>
        <w:t xml:space="preserve">: hepatoprotective agents </w:t>
      </w:r>
      <w:r w:rsidR="00875D92">
        <w:rPr>
          <w:szCs w:val="24"/>
        </w:rPr>
        <w:t>(</w:t>
      </w:r>
      <w:proofErr w:type="spellStart"/>
      <w:r w:rsidR="00875D92">
        <w:rPr>
          <w:szCs w:val="24"/>
        </w:rPr>
        <w:t>u</w:t>
      </w:r>
      <w:r w:rsidR="00ED017C" w:rsidRPr="00ED017C">
        <w:rPr>
          <w:szCs w:val="24"/>
        </w:rPr>
        <w:t>rsodeoxycholic</w:t>
      </w:r>
      <w:proofErr w:type="spellEnd"/>
      <w:r w:rsidR="00ED017C" w:rsidRPr="00ED017C">
        <w:rPr>
          <w:szCs w:val="24"/>
        </w:rPr>
        <w:t xml:space="preserve"> acid</w:t>
      </w:r>
      <w:r w:rsidR="00875D92">
        <w:rPr>
          <w:szCs w:val="24"/>
        </w:rPr>
        <w:t>,</w:t>
      </w:r>
      <w:r w:rsidR="00ED017C">
        <w:rPr>
          <w:szCs w:val="24"/>
        </w:rPr>
        <w:t xml:space="preserve"> L-</w:t>
      </w:r>
      <w:r w:rsidR="00964EBA">
        <w:rPr>
          <w:szCs w:val="24"/>
        </w:rPr>
        <w:t>arginine</w:t>
      </w:r>
      <w:r w:rsidR="00ED017C">
        <w:rPr>
          <w:szCs w:val="24"/>
        </w:rPr>
        <w:t xml:space="preserve"> supplementation</w:t>
      </w:r>
      <w:r w:rsidR="00875D92">
        <w:rPr>
          <w:szCs w:val="24"/>
        </w:rPr>
        <w:t>)</w:t>
      </w:r>
      <w:r w:rsidR="00ED017C">
        <w:rPr>
          <w:szCs w:val="24"/>
        </w:rPr>
        <w:t xml:space="preserve">, </w:t>
      </w:r>
      <w:r w:rsidR="00875D92">
        <w:rPr>
          <w:szCs w:val="24"/>
        </w:rPr>
        <w:t>ammonia-reducing agents (r</w:t>
      </w:r>
      <w:r w:rsidR="00ED017C">
        <w:rPr>
          <w:szCs w:val="24"/>
        </w:rPr>
        <w:t>ifaximin</w:t>
      </w:r>
      <w:r w:rsidR="00875D92">
        <w:rPr>
          <w:szCs w:val="24"/>
        </w:rPr>
        <w:t>, lactulose)</w:t>
      </w:r>
      <w:r w:rsidR="00ED017C">
        <w:rPr>
          <w:szCs w:val="24"/>
        </w:rPr>
        <w:t xml:space="preserve">, </w:t>
      </w:r>
      <w:r w:rsidR="00875D92">
        <w:rPr>
          <w:szCs w:val="24"/>
        </w:rPr>
        <w:t>glycemia</w:t>
      </w:r>
      <w:r w:rsidR="00ED017C">
        <w:rPr>
          <w:szCs w:val="24"/>
        </w:rPr>
        <w:t xml:space="preserve"> correction, </w:t>
      </w:r>
      <w:r w:rsidR="00875D92">
        <w:rPr>
          <w:szCs w:val="24"/>
        </w:rPr>
        <w:t xml:space="preserve">liquid repletion, </w:t>
      </w:r>
      <w:r w:rsidR="00964EBA">
        <w:rPr>
          <w:szCs w:val="24"/>
        </w:rPr>
        <w:t>cholecystitis</w:t>
      </w:r>
      <w:r w:rsidR="00ED017C">
        <w:rPr>
          <w:szCs w:val="24"/>
        </w:rPr>
        <w:t xml:space="preserve"> </w:t>
      </w:r>
      <w:r w:rsidR="00964EBA">
        <w:rPr>
          <w:szCs w:val="24"/>
        </w:rPr>
        <w:t>treatment</w:t>
      </w:r>
      <w:r w:rsidR="000E796C">
        <w:rPr>
          <w:szCs w:val="24"/>
        </w:rPr>
        <w:t xml:space="preserve"> </w:t>
      </w:r>
      <w:r w:rsidR="000E796C">
        <w:rPr>
          <w:szCs w:val="24"/>
        </w:rPr>
        <w:fldChar w:fldCharType="begin"/>
      </w:r>
      <w:r w:rsidR="000E796C">
        <w:rPr>
          <w:szCs w:val="24"/>
        </w:rPr>
        <w:instrText xml:space="preserve"> ADDIN ZOTERO_ITEM CSL_CITATION {"citationID":"WRrKyJwV","properties":{"formattedCitation":"[3]","plainCitation":"[3]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sidR="000E796C">
        <w:rPr>
          <w:szCs w:val="24"/>
        </w:rPr>
        <w:fldChar w:fldCharType="separate"/>
      </w:r>
      <w:r w:rsidR="000E796C" w:rsidRPr="000E796C">
        <w:t>[3]</w:t>
      </w:r>
      <w:r w:rsidR="000E796C">
        <w:rPr>
          <w:szCs w:val="24"/>
        </w:rPr>
        <w:fldChar w:fldCharType="end"/>
      </w:r>
      <w:r w:rsidR="001F23E0">
        <w:rPr>
          <w:szCs w:val="24"/>
        </w:rPr>
        <w:t>.</w:t>
      </w:r>
      <w:r>
        <w:rPr>
          <w:szCs w:val="24"/>
        </w:rPr>
        <w:t xml:space="preserve">  </w:t>
      </w:r>
      <w:r w:rsidRPr="00033300">
        <w:rPr>
          <w:i/>
          <w:iCs/>
          <w:szCs w:val="24"/>
        </w:rPr>
        <w:t>We defined</w:t>
      </w:r>
      <w:r>
        <w:rPr>
          <w:szCs w:val="24"/>
        </w:rPr>
        <w:t xml:space="preserve"> additional treatment as ribavirin in hepatitis E patients and plasma products in hepatitis A patients.</w:t>
      </w:r>
    </w:p>
    <w:p w14:paraId="1D75E934" w14:textId="04299F81" w:rsidR="00A63ED7" w:rsidRDefault="00A63ED7" w:rsidP="00A63ED7">
      <w:pPr>
        <w:rPr>
          <w:szCs w:val="24"/>
        </w:rPr>
      </w:pPr>
      <w:r>
        <w:rPr>
          <w:szCs w:val="24"/>
        </w:rPr>
        <w:t>In assessing disease severity we gathered information on common sign</w:t>
      </w:r>
      <w:r w:rsidR="00B32B04">
        <w:rPr>
          <w:szCs w:val="24"/>
        </w:rPr>
        <w:t>s</w:t>
      </w:r>
      <w:r>
        <w:rPr>
          <w:szCs w:val="24"/>
        </w:rPr>
        <w:t xml:space="preserve"> and symptoms of acute viral hepatitis, neurologic manifestations and </w:t>
      </w:r>
      <w:r w:rsidR="00B32B04">
        <w:rPr>
          <w:szCs w:val="24"/>
        </w:rPr>
        <w:t xml:space="preserve">hepatic </w:t>
      </w:r>
      <w:r>
        <w:rPr>
          <w:szCs w:val="24"/>
        </w:rPr>
        <w:t xml:space="preserve">encephalopathy grading by West-Heaven criteria </w:t>
      </w:r>
      <w:r>
        <w:rPr>
          <w:szCs w:val="24"/>
        </w:rPr>
        <w:fldChar w:fldCharType="begin"/>
      </w:r>
      <w:r w:rsidR="000E796C">
        <w:rPr>
          <w:szCs w:val="24"/>
        </w:rPr>
        <w:instrText xml:space="preserve"> ADDIN ZOTERO_ITEM CSL_CITATION {"citationID":"gc056rA1","properties":{"formattedCitation":"[4]","plainCitation":"[4]","noteIndex":0},"citationItems":[{"id":349,"uris":["http://zotero.org/users/5985486/items/Z6843HN2"],"uri":["http://zotero.org/users/5985486/items/Z6843HN2"],"itemData":{"id":349,"type":"article-journal","title":"Hepatic encephalopathy in chronic liver disease: 2014 Practice Guideline by the American Association for the Study Of Liver Diseases and the European Association for the Study of the Liver: Vilstrup et al.","container-title":"Hepatology","page":"715-735","volume":"60","issue":"2","source":"DOI.org (Crossref)","DOI":"10.1002/hep.27210","ISSN":"02709139","title-short":"Hepatic encephalopathy in chronic liver disease","journalAbbreviation":"Hepatology","language":"en","author":[{"family":"Vilstrup","given":"Hendrik"},{"family":"Amodio","given":"Piero"},{"family":"Bajaj","given":"Jasmohan"},{"family":"Cordoba","given":"Juan"},{"family":"Ferenci","given":"Peter"},{"family":"Mullen","given":"Kevin D."},{"family":"Weissenborn","given":"Karin"},{"family":"Wong","given":"Philip"}],"issued":{"date-parts":[["2014",8]]}}}],"schema":"https://github.com/citation-style-language/schema/raw/master/csl-citation.json"} </w:instrText>
      </w:r>
      <w:r>
        <w:rPr>
          <w:szCs w:val="24"/>
        </w:rPr>
        <w:fldChar w:fldCharType="separate"/>
      </w:r>
      <w:r w:rsidR="000E796C" w:rsidRPr="000E796C">
        <w:t>[4]</w:t>
      </w:r>
      <w:r>
        <w:rPr>
          <w:szCs w:val="24"/>
        </w:rPr>
        <w:fldChar w:fldCharType="end"/>
      </w:r>
      <w:r w:rsidR="00B32B04">
        <w:rPr>
          <w:szCs w:val="24"/>
        </w:rPr>
        <w:t xml:space="preserve">. </w:t>
      </w:r>
      <w:r>
        <w:rPr>
          <w:szCs w:val="24"/>
        </w:rPr>
        <w:t xml:space="preserve"> </w:t>
      </w:r>
      <w:r w:rsidR="00B32B04">
        <w:rPr>
          <w:szCs w:val="24"/>
        </w:rPr>
        <w:t xml:space="preserve">We reported </w:t>
      </w:r>
      <w:r w:rsidR="001E7D9C">
        <w:rPr>
          <w:szCs w:val="24"/>
        </w:rPr>
        <w:t>a short summary of each selected patient’s comorbidities, evolution and possible causes of death.</w:t>
      </w:r>
    </w:p>
    <w:p w14:paraId="07154C05" w14:textId="77777777" w:rsidR="00045F62" w:rsidRDefault="00045F62" w:rsidP="00A63ED7">
      <w:pPr>
        <w:rPr>
          <w:szCs w:val="24"/>
        </w:rPr>
      </w:pPr>
    </w:p>
    <w:p w14:paraId="58A7AE84" w14:textId="78D53748" w:rsidR="000C25C0" w:rsidRDefault="000C25C0" w:rsidP="000C25C0">
      <w:pPr>
        <w:rPr>
          <w:szCs w:val="24"/>
        </w:rPr>
      </w:pPr>
      <w:commentRangeStart w:id="8"/>
      <w:r>
        <w:rPr>
          <w:szCs w:val="24"/>
        </w:rPr>
        <w:t>All patients signed an informed consent form</w:t>
      </w:r>
      <w:r w:rsidR="00AB5A00">
        <w:rPr>
          <w:szCs w:val="24"/>
        </w:rPr>
        <w:t xml:space="preserve"> at admission allowing anonymous research on data included in the electronic records</w:t>
      </w:r>
      <w:r>
        <w:rPr>
          <w:szCs w:val="24"/>
        </w:rPr>
        <w:t xml:space="preserve">. </w:t>
      </w:r>
      <w:commentRangeEnd w:id="8"/>
      <w:r>
        <w:rPr>
          <w:rStyle w:val="CommentReference"/>
        </w:rPr>
        <w:commentReference w:id="8"/>
      </w:r>
      <w:r>
        <w:rPr>
          <w:szCs w:val="24"/>
        </w:rPr>
        <w:t xml:space="preserve">This study was approved by the ethics committee of our hospital. </w:t>
      </w:r>
    </w:p>
    <w:p w14:paraId="33DEF218" w14:textId="645B650B" w:rsidR="000C25C0" w:rsidRDefault="000C25C0" w:rsidP="000C25C0">
      <w:pPr>
        <w:rPr>
          <w:szCs w:val="24"/>
        </w:rPr>
      </w:pPr>
      <w:r>
        <w:rPr>
          <w:szCs w:val="24"/>
        </w:rPr>
        <w:t xml:space="preserve">Data were centralized in a spreadsheet, checked for consistency, anonymized and imported into </w:t>
      </w:r>
      <w:commentRangeStart w:id="9"/>
      <w:r>
        <w:rPr>
          <w:szCs w:val="24"/>
        </w:rPr>
        <w:t>R</w:t>
      </w:r>
      <w:commentRangeEnd w:id="9"/>
      <w:r>
        <w:rPr>
          <w:rStyle w:val="CommentReference"/>
        </w:rPr>
        <w:commentReference w:id="9"/>
      </w:r>
      <w:r>
        <w:rPr>
          <w:szCs w:val="24"/>
        </w:rPr>
        <w:t xml:space="preserve"> 3.6.1</w:t>
      </w:r>
      <w:r w:rsidR="000E796C">
        <w:rPr>
          <w:szCs w:val="24"/>
        </w:rPr>
        <w:t xml:space="preserve"> </w:t>
      </w:r>
      <w:r w:rsidR="000E796C">
        <w:rPr>
          <w:szCs w:val="24"/>
        </w:rPr>
        <w:fldChar w:fldCharType="begin"/>
      </w:r>
      <w:r w:rsidR="000E796C">
        <w:rPr>
          <w:szCs w:val="24"/>
        </w:rPr>
        <w:instrText xml:space="preserve"> ADDIN ZOTERO_ITEM CSL_CITATION {"citationID":"GgD80dQI","properties":{"formattedCitation":"[5]","plainCitation":"[5]","noteIndex":0},"citationItems":[{"id":353,"uris":["http://zotero.org/users/5985486/items/DWHXQNMZ"],"uri":["http://zotero.org/users/5985486/items/DWHXQNMZ"],"itemData":{"id":353,"type":"book","title":"R: A language and environment for statistical computing","publisher":"R Core Team, Foundation for Statistical Computing, Vienna, Austria","version":"3.6.1","medium":"Linux","URL":"https://www.r-project.org/"}}],"schema":"https://github.com/citation-style-language/schema/raw/master/csl-citation.json"} </w:instrText>
      </w:r>
      <w:r w:rsidR="000E796C">
        <w:rPr>
          <w:szCs w:val="24"/>
        </w:rPr>
        <w:fldChar w:fldCharType="separate"/>
      </w:r>
      <w:r w:rsidR="000E796C" w:rsidRPr="000E796C">
        <w:t>[5]</w:t>
      </w:r>
      <w:r w:rsidR="000E796C">
        <w:rPr>
          <w:szCs w:val="24"/>
        </w:rPr>
        <w:fldChar w:fldCharType="end"/>
      </w:r>
      <w:r>
        <w:rPr>
          <w:szCs w:val="24"/>
        </w:rPr>
        <w:t xml:space="preserve"> on Linux where all subsequent statistical analyses were performed. We used absolute and relative frequencies to describe categorical data and means with standard deviations or medians with IQR and ranges to describe numerical data. Comparisons between hepatitis A and hepatitis E </w:t>
      </w:r>
      <w:r>
        <w:rPr>
          <w:szCs w:val="24"/>
        </w:rPr>
        <w:lastRenderedPageBreak/>
        <w:t>groups were performed using both univariate methods (t-test for continuous variables with normal distribution according to the Shapiro-Wilk test, Mann-Whitney test for continuous variables with non-normal distribution, Fisher test for binary variables) as well as two multivariate logistic regression models adjusting for (model 1): age &amp; gender and (model 2): all variables taken into account. Prior to logistic models, right-skewed data were transformed using the decimal logarithm. All statistical tests used a significance cut-off value at p&lt;.05.</w:t>
      </w:r>
    </w:p>
    <w:p w14:paraId="1D25734A" w14:textId="77777777" w:rsidR="00045F62" w:rsidRDefault="00045F62" w:rsidP="000C25C0">
      <w:pPr>
        <w:rPr>
          <w:szCs w:val="24"/>
        </w:rPr>
      </w:pPr>
    </w:p>
    <w:p w14:paraId="0EC861C0" w14:textId="549293D8" w:rsidR="00E85F56" w:rsidRPr="00045F62" w:rsidRDefault="00E85F56" w:rsidP="000C25C0">
      <w:pPr>
        <w:rPr>
          <w:color w:val="FF0000"/>
          <w:szCs w:val="24"/>
        </w:rPr>
      </w:pPr>
      <w:r w:rsidRPr="00045F62">
        <w:rPr>
          <w:color w:val="FF0000"/>
          <w:szCs w:val="24"/>
        </w:rPr>
        <w:t>Supplementary data, available online, include the R script used to generate the statistical analysis, randomly generated sample data</w:t>
      </w:r>
      <w:r w:rsidR="00B4152C" w:rsidRPr="00045F62">
        <w:rPr>
          <w:color w:val="FF0000"/>
          <w:szCs w:val="24"/>
        </w:rPr>
        <w:t>, technical details on all variables</w:t>
      </w:r>
      <w:r w:rsidR="00045F62" w:rsidRPr="00045F62">
        <w:rPr>
          <w:color w:val="FF0000"/>
          <w:szCs w:val="24"/>
        </w:rPr>
        <w:t xml:space="preserve">, </w:t>
      </w:r>
      <w:r w:rsidR="00B4152C" w:rsidRPr="00045F62">
        <w:rPr>
          <w:color w:val="FF0000"/>
          <w:szCs w:val="24"/>
        </w:rPr>
        <w:t>detailed explanation of the methods</w:t>
      </w:r>
      <w:r w:rsidR="00045F62" w:rsidRPr="00045F62">
        <w:rPr>
          <w:color w:val="FF0000"/>
          <w:szCs w:val="24"/>
        </w:rPr>
        <w:t xml:space="preserve"> and details on our hospital’s protocols for diagnosis and management of hepatitis A and E</w:t>
      </w:r>
      <w:r w:rsidR="00B4152C" w:rsidRPr="00045F62">
        <w:rPr>
          <w:color w:val="FF0000"/>
          <w:szCs w:val="24"/>
        </w:rPr>
        <w:t>.</w:t>
      </w:r>
    </w:p>
    <w:p w14:paraId="12C4A4FA" w14:textId="77777777" w:rsidR="00B4152C" w:rsidRDefault="00B4152C" w:rsidP="000C25C0">
      <w:pPr>
        <w:rPr>
          <w:szCs w:val="24"/>
        </w:rPr>
      </w:pPr>
    </w:p>
    <w:bookmarkEnd w:id="0"/>
    <w:p w14:paraId="627FB6BC" w14:textId="77777777" w:rsidR="00D202B8" w:rsidRDefault="00D202B8"/>
    <w:sectPr w:rsidR="00D202B8" w:rsidSect="00712C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u Istrate" w:date="2019-10-24T08:23:00Z" w:initials="AI">
    <w:p w14:paraId="31BA10FE" w14:textId="77777777" w:rsidR="00045F62" w:rsidRDefault="00045F62" w:rsidP="003309E8">
      <w:pPr>
        <w:pStyle w:val="NormalWeb"/>
        <w:ind w:right="720"/>
      </w:pPr>
      <w:r>
        <w:rPr>
          <w:rStyle w:val="CommentReference"/>
        </w:rPr>
        <w:annotationRef/>
      </w:r>
      <w:r>
        <w:rPr>
          <w:rFonts w:ascii="Arial" w:hAnsi="Arial" w:cs="Arial"/>
          <w:color w:val="222222"/>
          <w:shd w:val="clear" w:color="auto" w:fill="FFFFFF"/>
        </w:rPr>
        <w:t>please define laboratory parameters</w:t>
      </w:r>
    </w:p>
  </w:comment>
  <w:comment w:id="2" w:author="Alexandru Istrate" w:date="2019-10-24T12:20:00Z" w:initials="AI">
    <w:p w14:paraId="100A4D9C" w14:textId="77777777" w:rsidR="00045F62" w:rsidRPr="006B110C" w:rsidRDefault="00045F62" w:rsidP="00AB5A00">
      <w:pPr>
        <w:pStyle w:val="CommentText"/>
        <w:rPr>
          <w:color w:val="FF0000"/>
        </w:rPr>
      </w:pPr>
      <w:r w:rsidRPr="006B110C">
        <w:rPr>
          <w:rStyle w:val="CommentReference"/>
          <w:color w:val="FF0000"/>
        </w:rPr>
        <w:annotationRef/>
      </w:r>
      <w:r w:rsidRPr="006B110C">
        <w:rPr>
          <w:color w:val="FF0000"/>
        </w:rPr>
        <w:t xml:space="preserve">De pus: Se, </w:t>
      </w:r>
      <w:proofErr w:type="spellStart"/>
      <w:r w:rsidRPr="006B110C">
        <w:rPr>
          <w:color w:val="FF0000"/>
        </w:rPr>
        <w:t>Sp</w:t>
      </w:r>
      <w:proofErr w:type="spellEnd"/>
    </w:p>
  </w:comment>
  <w:comment w:id="3" w:author="Alexandru Istrate" w:date="2019-10-24T08:22:00Z" w:initials="AI">
    <w:p w14:paraId="5671B7AC" w14:textId="77777777" w:rsidR="00045F62" w:rsidRDefault="00045F62" w:rsidP="00033300">
      <w:pPr>
        <w:pStyle w:val="CommentText"/>
        <w:rPr>
          <w:rFonts w:ascii="Arial" w:eastAsia="SimSun" w:hAnsi="Arial" w:cs="Arial"/>
          <w:color w:val="222222"/>
          <w:sz w:val="24"/>
          <w:szCs w:val="24"/>
          <w:shd w:val="clear" w:color="auto" w:fill="FFFFFF"/>
        </w:rPr>
      </w:pPr>
      <w:r>
        <w:rPr>
          <w:rStyle w:val="CommentReference"/>
        </w:rPr>
        <w:annotationRef/>
      </w:r>
      <w:r>
        <w:rPr>
          <w:rFonts w:ascii="Arial" w:eastAsia="SimSun" w:hAnsi="Arial" w:cs="Arial"/>
          <w:color w:val="222222"/>
          <w:sz w:val="24"/>
          <w:szCs w:val="24"/>
          <w:shd w:val="clear" w:color="auto" w:fill="FFFFFF"/>
        </w:rPr>
        <w:t>the definition for severe case of hepatitis E in not found in the guideline cited. Please give the correct reference for the definition.</w:t>
      </w:r>
    </w:p>
    <w:p w14:paraId="63A01C4C" w14:textId="77777777" w:rsidR="00045F62" w:rsidRDefault="00045F62" w:rsidP="00033300">
      <w:pPr>
        <w:pStyle w:val="CommentText"/>
        <w:rPr>
          <w:rFonts w:ascii="Arial" w:eastAsia="SimSun" w:hAnsi="Arial" w:cs="Arial"/>
          <w:color w:val="222222"/>
          <w:sz w:val="24"/>
          <w:szCs w:val="24"/>
          <w:shd w:val="clear" w:color="auto" w:fill="FFFFFF"/>
        </w:rPr>
      </w:pPr>
    </w:p>
    <w:p w14:paraId="106A6F25" w14:textId="77777777" w:rsidR="00045F62" w:rsidRPr="000340E1" w:rsidRDefault="00045F62" w:rsidP="00033300">
      <w:pPr>
        <w:pStyle w:val="CommentText"/>
      </w:pPr>
      <w:r>
        <w:rPr>
          <w:rFonts w:ascii="Arial" w:eastAsia="SimSun" w:hAnsi="Arial" w:cs="Arial"/>
          <w:color w:val="222222"/>
          <w:sz w:val="24"/>
          <w:szCs w:val="24"/>
          <w:shd w:val="clear" w:color="auto" w:fill="FFFFFF"/>
        </w:rPr>
        <w:t>“</w:t>
      </w:r>
      <w:r>
        <w:rPr>
          <w:rFonts w:ascii="Arial" w:eastAsia="SimSun" w:hAnsi="Arial" w:cs="Arial"/>
          <w:b/>
          <w:bCs/>
          <w:color w:val="222222"/>
          <w:sz w:val="24"/>
          <w:szCs w:val="24"/>
          <w:shd w:val="clear" w:color="auto" w:fill="FFFFFF"/>
        </w:rPr>
        <w:t>We</w:t>
      </w:r>
      <w:r>
        <w:rPr>
          <w:rFonts w:ascii="Arial" w:eastAsia="SimSun" w:hAnsi="Arial" w:cs="Arial"/>
          <w:color w:val="222222"/>
          <w:sz w:val="24"/>
          <w:szCs w:val="24"/>
          <w:shd w:val="clear" w:color="auto" w:fill="FFFFFF"/>
        </w:rPr>
        <w:t xml:space="preserve"> defined”?</w:t>
      </w:r>
    </w:p>
  </w:comment>
  <w:comment w:id="4" w:author="Alexandru Istrate" w:date="2019-10-24T08:23:00Z" w:initials="AI">
    <w:p w14:paraId="5E36A89E" w14:textId="77777777" w:rsidR="00045F62" w:rsidRPr="000340E1" w:rsidRDefault="00045F62" w:rsidP="00033300">
      <w:pPr>
        <w:pStyle w:val="NormalWeb"/>
        <w:ind w:right="720"/>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please give a reference for the definition of severe hepatitis A</w:t>
      </w:r>
    </w:p>
    <w:p w14:paraId="71EFAEDB" w14:textId="77777777" w:rsidR="00045F62" w:rsidRDefault="00045F62" w:rsidP="00033300">
      <w:pPr>
        <w:pStyle w:val="CommentText"/>
        <w:rPr>
          <w:rFonts w:ascii="Arial" w:eastAsia="SimSun" w:hAnsi="Arial" w:cs="Arial"/>
          <w:color w:val="222222"/>
          <w:sz w:val="24"/>
          <w:szCs w:val="24"/>
          <w:shd w:val="clear" w:color="auto" w:fill="FFFFFF"/>
        </w:rPr>
      </w:pPr>
    </w:p>
    <w:p w14:paraId="1313F242" w14:textId="77777777" w:rsidR="00045F62" w:rsidRDefault="00045F62" w:rsidP="00033300">
      <w:pPr>
        <w:pStyle w:val="CommentText"/>
      </w:pPr>
      <w:r>
        <w:rPr>
          <w:rFonts w:ascii="Arial" w:eastAsia="SimSun" w:hAnsi="Arial" w:cs="Arial"/>
          <w:color w:val="222222"/>
          <w:sz w:val="24"/>
          <w:szCs w:val="24"/>
          <w:shd w:val="clear" w:color="auto" w:fill="FFFFFF"/>
        </w:rPr>
        <w:t>“</w:t>
      </w:r>
      <w:r>
        <w:rPr>
          <w:rFonts w:ascii="Arial" w:eastAsia="SimSun" w:hAnsi="Arial" w:cs="Arial"/>
          <w:b/>
          <w:bCs/>
          <w:color w:val="222222"/>
          <w:sz w:val="24"/>
          <w:szCs w:val="24"/>
          <w:shd w:val="clear" w:color="auto" w:fill="FFFFFF"/>
        </w:rPr>
        <w:t>We</w:t>
      </w:r>
      <w:r>
        <w:rPr>
          <w:rFonts w:ascii="Arial" w:eastAsia="SimSun" w:hAnsi="Arial" w:cs="Arial"/>
          <w:color w:val="222222"/>
          <w:sz w:val="24"/>
          <w:szCs w:val="24"/>
          <w:shd w:val="clear" w:color="auto" w:fill="FFFFFF"/>
        </w:rPr>
        <w:t xml:space="preserve"> defined”?</w:t>
      </w:r>
    </w:p>
    <w:p w14:paraId="7F419AA0" w14:textId="77777777" w:rsidR="00045F62" w:rsidRDefault="00045F62" w:rsidP="00033300">
      <w:pPr>
        <w:pStyle w:val="CommentText"/>
      </w:pPr>
    </w:p>
    <w:p w14:paraId="12D5E55D" w14:textId="77777777" w:rsidR="00045F62" w:rsidRDefault="00045F62" w:rsidP="00033300">
      <w:pPr>
        <w:pStyle w:val="CommentText"/>
      </w:pPr>
    </w:p>
  </w:comment>
  <w:comment w:id="5" w:author="Alexandru Istrate" w:date="2019-10-24T08:21:00Z" w:initials="AI">
    <w:p w14:paraId="5E2FFB45" w14:textId="77777777" w:rsidR="00045F62" w:rsidRDefault="00045F62" w:rsidP="00033300">
      <w:pPr>
        <w:pStyle w:val="NormalWeb"/>
        <w:ind w:left="720" w:right="720"/>
      </w:pPr>
      <w:r>
        <w:rPr>
          <w:rStyle w:val="CommentReference"/>
        </w:rPr>
        <w:annotationRef/>
      </w:r>
      <w:r>
        <w:rPr>
          <w:rFonts w:ascii="Arial" w:hAnsi="Arial" w:cs="Arial"/>
          <w:color w:val="222222"/>
          <w:shd w:val="clear" w:color="auto" w:fill="FFFFFF"/>
        </w:rPr>
        <w:t>please define appropriate supportive treatment with references</w:t>
      </w:r>
    </w:p>
    <w:p w14:paraId="71C75FFA" w14:textId="77777777" w:rsidR="00045F62" w:rsidRDefault="00045F62" w:rsidP="00033300">
      <w:pPr>
        <w:pStyle w:val="CommentText"/>
      </w:pPr>
    </w:p>
  </w:comment>
  <w:comment w:id="7" w:author="Alexandru Istrate" w:date="2019-10-24T08:22:00Z" w:initials="AI">
    <w:p w14:paraId="08B9F8D4" w14:textId="77777777" w:rsidR="00045F62" w:rsidRDefault="00045F62" w:rsidP="00033300">
      <w:pPr>
        <w:pStyle w:val="NormalWeb"/>
        <w:ind w:right="720"/>
      </w:pPr>
      <w:r>
        <w:rPr>
          <w:rStyle w:val="CommentReference"/>
        </w:rPr>
        <w:annotationRef/>
      </w:r>
      <w:r>
        <w:rPr>
          <w:rFonts w:ascii="Arial" w:hAnsi="Arial" w:cs="Arial"/>
          <w:color w:val="222222"/>
          <w:shd w:val="clear" w:color="auto" w:fill="FFFFFF"/>
        </w:rPr>
        <w:t>“general recommendations” - please give references</w:t>
      </w:r>
    </w:p>
  </w:comment>
  <w:comment w:id="8" w:author="Alexandru Istrate" w:date="2019-10-24T08:25:00Z" w:initials="AI">
    <w:p w14:paraId="710D116D" w14:textId="77777777" w:rsidR="00045F62" w:rsidRDefault="00045F62" w:rsidP="000C25C0">
      <w:pPr>
        <w:pStyle w:val="CommentText"/>
      </w:pPr>
      <w:r>
        <w:rPr>
          <w:rStyle w:val="CommentReference"/>
        </w:rPr>
        <w:annotationRef/>
      </w:r>
      <w:r>
        <w:rPr>
          <w:rFonts w:ascii="Arial" w:eastAsia="SimSun" w:hAnsi="Arial" w:cs="Arial"/>
          <w:color w:val="222222"/>
          <w:sz w:val="24"/>
          <w:szCs w:val="24"/>
          <w:shd w:val="clear" w:color="auto" w:fill="FFFFFF"/>
        </w:rPr>
        <w:t>if the study was retrospective from the electronic database how was the informed consent signed for the study?</w:t>
      </w:r>
    </w:p>
  </w:comment>
  <w:comment w:id="9" w:author="Alexandru Istrate" w:date="2019-10-24T08:45:00Z" w:initials="AI">
    <w:p w14:paraId="6C8AEEC6" w14:textId="77777777" w:rsidR="00045F62" w:rsidRDefault="00045F62" w:rsidP="000C25C0">
      <w:pPr>
        <w:pStyle w:val="CommentText"/>
        <w:rPr>
          <w:rFonts w:ascii="Arial" w:eastAsia="SimSun" w:hAnsi="Arial" w:cs="Arial"/>
          <w:color w:val="222222"/>
          <w:sz w:val="24"/>
          <w:szCs w:val="24"/>
          <w:shd w:val="clear" w:color="auto" w:fill="FFFFFF"/>
        </w:rPr>
      </w:pPr>
      <w:r>
        <w:rPr>
          <w:rStyle w:val="CommentReference"/>
        </w:rPr>
        <w:annotationRef/>
      </w:r>
      <w:r>
        <w:rPr>
          <w:rFonts w:ascii="Arial" w:eastAsia="SimSun" w:hAnsi="Arial" w:cs="Arial"/>
          <w:color w:val="222222"/>
          <w:sz w:val="24"/>
          <w:szCs w:val="24"/>
          <w:shd w:val="clear" w:color="auto" w:fill="FFFFFF"/>
        </w:rPr>
        <w:t>please include it as reference at the end of the document</w:t>
      </w:r>
    </w:p>
    <w:p w14:paraId="1D6288B9" w14:textId="57121A61" w:rsidR="00045F62" w:rsidRDefault="00045F62" w:rsidP="000C25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A10FE" w15:done="0"/>
  <w15:commentEx w15:paraId="100A4D9C" w15:done="0"/>
  <w15:commentEx w15:paraId="106A6F25" w15:done="0"/>
  <w15:commentEx w15:paraId="12D5E55D" w15:done="0"/>
  <w15:commentEx w15:paraId="71C75FFA" w15:done="0"/>
  <w15:commentEx w15:paraId="08B9F8D4" w15:done="0"/>
  <w15:commentEx w15:paraId="710D116D" w15:done="0"/>
  <w15:commentEx w15:paraId="1D628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A10FE" w16cid:durableId="215BDE1F"/>
  <w16cid:commentId w16cid:paraId="100A4D9C" w16cid:durableId="215C158B"/>
  <w16cid:commentId w16cid:paraId="106A6F25" w16cid:durableId="215BDDD1"/>
  <w16cid:commentId w16cid:paraId="12D5E55D" w16cid:durableId="215BDE02"/>
  <w16cid:commentId w16cid:paraId="71C75FFA" w16cid:durableId="215BDDA0"/>
  <w16cid:commentId w16cid:paraId="08B9F8D4" w16cid:durableId="215BDDB1"/>
  <w16cid:commentId w16cid:paraId="710D116D" w16cid:durableId="215BDE75"/>
  <w16cid:commentId w16cid:paraId="1D6288B9" w16cid:durableId="215BE3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184DA" w14:textId="77777777" w:rsidR="005E1446" w:rsidRDefault="005E1446" w:rsidP="000C25C0">
      <w:pPr>
        <w:spacing w:before="0" w:after="0"/>
      </w:pPr>
      <w:r>
        <w:separator/>
      </w:r>
    </w:p>
  </w:endnote>
  <w:endnote w:type="continuationSeparator" w:id="0">
    <w:p w14:paraId="5BBC15C8" w14:textId="77777777" w:rsidR="005E1446" w:rsidRDefault="005E1446" w:rsidP="000C25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F1F52" w14:textId="77777777" w:rsidR="005E1446" w:rsidRDefault="005E1446" w:rsidP="000C25C0">
      <w:pPr>
        <w:spacing w:before="0" w:after="0"/>
      </w:pPr>
      <w:r>
        <w:separator/>
      </w:r>
    </w:p>
  </w:footnote>
  <w:footnote w:type="continuationSeparator" w:id="0">
    <w:p w14:paraId="290D82DD" w14:textId="77777777" w:rsidR="005E1446" w:rsidRDefault="005E1446" w:rsidP="000C25C0">
      <w:pPr>
        <w:spacing w:before="0"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u Istrate">
    <w15:presenceInfo w15:providerId="AD" w15:userId="S::alexandru.istrate@student.umfcluj.ro::5b5c715a-702f-49b9-a1b4-d262d9ea9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NDa3MLUwMTcwM7FU0lEKTi0uzszPAykwrAUAo1930iwAAAA="/>
  </w:docVars>
  <w:rsids>
    <w:rsidRoot w:val="000C25C0"/>
    <w:rsid w:val="00033300"/>
    <w:rsid w:val="00042FC5"/>
    <w:rsid w:val="00045F62"/>
    <w:rsid w:val="00054735"/>
    <w:rsid w:val="000B54BC"/>
    <w:rsid w:val="000C25C0"/>
    <w:rsid w:val="000E796C"/>
    <w:rsid w:val="001875AD"/>
    <w:rsid w:val="001B7FB8"/>
    <w:rsid w:val="001E7D9C"/>
    <w:rsid w:val="001F23E0"/>
    <w:rsid w:val="001F38CE"/>
    <w:rsid w:val="0021458C"/>
    <w:rsid w:val="002642B6"/>
    <w:rsid w:val="002C66E5"/>
    <w:rsid w:val="002C7F8E"/>
    <w:rsid w:val="003309E8"/>
    <w:rsid w:val="00390379"/>
    <w:rsid w:val="0045009E"/>
    <w:rsid w:val="004B4499"/>
    <w:rsid w:val="004C372C"/>
    <w:rsid w:val="004D2244"/>
    <w:rsid w:val="00586FD4"/>
    <w:rsid w:val="005E1446"/>
    <w:rsid w:val="00641111"/>
    <w:rsid w:val="00691D72"/>
    <w:rsid w:val="00712C99"/>
    <w:rsid w:val="00777198"/>
    <w:rsid w:val="00800D42"/>
    <w:rsid w:val="00875D92"/>
    <w:rsid w:val="008F0EB1"/>
    <w:rsid w:val="00964EBA"/>
    <w:rsid w:val="00A12113"/>
    <w:rsid w:val="00A63ED7"/>
    <w:rsid w:val="00AB5A00"/>
    <w:rsid w:val="00AF09CC"/>
    <w:rsid w:val="00B16DB3"/>
    <w:rsid w:val="00B2202F"/>
    <w:rsid w:val="00B32B04"/>
    <w:rsid w:val="00B4152C"/>
    <w:rsid w:val="00C471C4"/>
    <w:rsid w:val="00CE1579"/>
    <w:rsid w:val="00D202B8"/>
    <w:rsid w:val="00E00A22"/>
    <w:rsid w:val="00E81817"/>
    <w:rsid w:val="00E85F56"/>
    <w:rsid w:val="00EA215D"/>
    <w:rsid w:val="00ED0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5E7E"/>
  <w15:chartTrackingRefBased/>
  <w15:docId w15:val="{353B7350-3F2E-4F88-9FAE-B1E628AE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25C0"/>
    <w:pPr>
      <w:spacing w:before="40" w:after="40" w:line="240" w:lineRule="auto"/>
      <w:jc w:val="both"/>
    </w:pPr>
    <w:rPr>
      <w:rFonts w:ascii="Times New Roman" w:eastAsiaTheme="minorEastAsia" w:hAnsi="Times New Roman" w:cs="Times New Roman"/>
      <w:sz w:val="24"/>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qFormat/>
    <w:rsid w:val="000C25C0"/>
    <w:rPr>
      <w:sz w:val="20"/>
    </w:rPr>
  </w:style>
  <w:style w:type="character" w:customStyle="1" w:styleId="CommentTextChar">
    <w:name w:val="Comment Text Char"/>
    <w:basedOn w:val="DefaultParagraphFont"/>
    <w:link w:val="CommentText"/>
    <w:semiHidden/>
    <w:qFormat/>
    <w:rsid w:val="000C25C0"/>
    <w:rPr>
      <w:rFonts w:ascii="Times New Roman" w:eastAsiaTheme="minorEastAsia" w:hAnsi="Times New Roman" w:cs="Times New Roman"/>
      <w:sz w:val="20"/>
      <w:szCs w:val="20"/>
      <w:lang w:val="en-US" w:eastAsia="zh-CN"/>
    </w:rPr>
  </w:style>
  <w:style w:type="paragraph" w:styleId="FootnoteText">
    <w:name w:val="footnote text"/>
    <w:basedOn w:val="Normal"/>
    <w:link w:val="FootnoteTextChar"/>
    <w:qFormat/>
    <w:rsid w:val="000C25C0"/>
    <w:pPr>
      <w:snapToGrid w:val="0"/>
      <w:jc w:val="left"/>
    </w:pPr>
    <w:rPr>
      <w:sz w:val="18"/>
      <w:szCs w:val="18"/>
    </w:rPr>
  </w:style>
  <w:style w:type="character" w:customStyle="1" w:styleId="FootnoteTextChar">
    <w:name w:val="Footnote Text Char"/>
    <w:basedOn w:val="DefaultParagraphFont"/>
    <w:link w:val="FootnoteText"/>
    <w:rsid w:val="000C25C0"/>
    <w:rPr>
      <w:rFonts w:ascii="Times New Roman" w:eastAsiaTheme="minorEastAsia" w:hAnsi="Times New Roman" w:cs="Times New Roman"/>
      <w:sz w:val="18"/>
      <w:szCs w:val="18"/>
      <w:lang w:val="en-US" w:eastAsia="zh-CN"/>
    </w:rPr>
  </w:style>
  <w:style w:type="paragraph" w:styleId="NormalWeb">
    <w:name w:val="Normal (Web)"/>
    <w:qFormat/>
    <w:rsid w:val="000C25C0"/>
    <w:pPr>
      <w:spacing w:beforeAutospacing="1" w:after="0" w:afterAutospacing="1" w:line="276" w:lineRule="auto"/>
    </w:pPr>
    <w:rPr>
      <w:rFonts w:ascii="Times New Roman" w:eastAsia="SimSun" w:hAnsi="Times New Roman" w:cs="Times New Roman"/>
      <w:sz w:val="24"/>
      <w:szCs w:val="24"/>
      <w:lang w:val="en-US" w:eastAsia="zh-CN"/>
    </w:rPr>
  </w:style>
  <w:style w:type="character" w:styleId="CommentReference">
    <w:name w:val="annotation reference"/>
    <w:basedOn w:val="DefaultParagraphFont"/>
    <w:semiHidden/>
    <w:unhideWhenUsed/>
    <w:qFormat/>
    <w:rsid w:val="000C25C0"/>
    <w:rPr>
      <w:sz w:val="16"/>
      <w:szCs w:val="16"/>
    </w:rPr>
  </w:style>
  <w:style w:type="character" w:styleId="FootnoteReference">
    <w:name w:val="footnote reference"/>
    <w:basedOn w:val="DefaultParagraphFont"/>
    <w:qFormat/>
    <w:rsid w:val="000C25C0"/>
    <w:rPr>
      <w:sz w:val="20"/>
      <w:vertAlign w:val="superscript"/>
    </w:rPr>
  </w:style>
  <w:style w:type="paragraph" w:styleId="BalloonText">
    <w:name w:val="Balloon Text"/>
    <w:basedOn w:val="Normal"/>
    <w:link w:val="BalloonTextChar"/>
    <w:uiPriority w:val="99"/>
    <w:semiHidden/>
    <w:unhideWhenUsed/>
    <w:rsid w:val="000C25C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5C0"/>
    <w:rPr>
      <w:rFonts w:ascii="Segoe UI" w:eastAsiaTheme="minorEastAsia" w:hAnsi="Segoe UI" w:cs="Segoe UI"/>
      <w:sz w:val="18"/>
      <w:szCs w:val="18"/>
      <w:lang w:val="en-US" w:eastAsia="zh-CN"/>
    </w:rPr>
  </w:style>
  <w:style w:type="paragraph" w:styleId="Header">
    <w:name w:val="header"/>
    <w:basedOn w:val="Normal"/>
    <w:link w:val="HeaderChar"/>
    <w:uiPriority w:val="99"/>
    <w:unhideWhenUsed/>
    <w:rsid w:val="00AB5A00"/>
    <w:pPr>
      <w:tabs>
        <w:tab w:val="center" w:pos="4513"/>
        <w:tab w:val="right" w:pos="9026"/>
      </w:tabs>
      <w:spacing w:before="0" w:after="0"/>
    </w:pPr>
  </w:style>
  <w:style w:type="character" w:customStyle="1" w:styleId="HeaderChar">
    <w:name w:val="Header Char"/>
    <w:basedOn w:val="DefaultParagraphFont"/>
    <w:link w:val="Header"/>
    <w:uiPriority w:val="99"/>
    <w:rsid w:val="00AB5A00"/>
    <w:rPr>
      <w:rFonts w:ascii="Times New Roman" w:eastAsiaTheme="minorEastAsia" w:hAnsi="Times New Roman" w:cs="Times New Roman"/>
      <w:sz w:val="24"/>
      <w:szCs w:val="20"/>
      <w:lang w:val="en-US" w:eastAsia="zh-CN"/>
    </w:rPr>
  </w:style>
  <w:style w:type="paragraph" w:styleId="Footer">
    <w:name w:val="footer"/>
    <w:basedOn w:val="Normal"/>
    <w:link w:val="FooterChar"/>
    <w:uiPriority w:val="99"/>
    <w:unhideWhenUsed/>
    <w:rsid w:val="00AB5A00"/>
    <w:pPr>
      <w:tabs>
        <w:tab w:val="center" w:pos="4513"/>
        <w:tab w:val="right" w:pos="9026"/>
      </w:tabs>
      <w:spacing w:before="0" w:after="0"/>
    </w:pPr>
  </w:style>
  <w:style w:type="character" w:customStyle="1" w:styleId="FooterChar">
    <w:name w:val="Footer Char"/>
    <w:basedOn w:val="DefaultParagraphFont"/>
    <w:link w:val="Footer"/>
    <w:uiPriority w:val="99"/>
    <w:rsid w:val="00AB5A00"/>
    <w:rPr>
      <w:rFonts w:ascii="Times New Roman" w:eastAsiaTheme="minorEastAsia" w:hAnsi="Times New Roman" w:cs="Times New Roman"/>
      <w:sz w:val="24"/>
      <w:szCs w:val="20"/>
      <w:lang w:val="en-US" w:eastAsia="zh-CN"/>
    </w:rPr>
  </w:style>
  <w:style w:type="character" w:styleId="Hyperlink">
    <w:name w:val="Hyperlink"/>
    <w:basedOn w:val="DefaultParagraphFont"/>
    <w:uiPriority w:val="99"/>
    <w:unhideWhenUsed/>
    <w:rsid w:val="002C66E5"/>
    <w:rPr>
      <w:color w:val="0563C1" w:themeColor="hyperlink"/>
      <w:u w:val="single"/>
    </w:rPr>
  </w:style>
  <w:style w:type="character" w:styleId="UnresolvedMention">
    <w:name w:val="Unresolved Mention"/>
    <w:basedOn w:val="DefaultParagraphFont"/>
    <w:uiPriority w:val="99"/>
    <w:semiHidden/>
    <w:unhideWhenUsed/>
    <w:rsid w:val="002C66E5"/>
    <w:rPr>
      <w:color w:val="605E5C"/>
      <w:shd w:val="clear" w:color="auto" w:fill="E1DFDD"/>
    </w:rPr>
  </w:style>
  <w:style w:type="paragraph" w:styleId="ListParagraph">
    <w:name w:val="List Paragraph"/>
    <w:basedOn w:val="Normal"/>
    <w:uiPriority w:val="34"/>
    <w:qFormat/>
    <w:rsid w:val="00B2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61882">
      <w:bodyDiv w:val="1"/>
      <w:marLeft w:val="0"/>
      <w:marRight w:val="0"/>
      <w:marTop w:val="0"/>
      <w:marBottom w:val="0"/>
      <w:divBdr>
        <w:top w:val="none" w:sz="0" w:space="0" w:color="auto"/>
        <w:left w:val="none" w:sz="0" w:space="0" w:color="auto"/>
        <w:bottom w:val="none" w:sz="0" w:space="0" w:color="auto"/>
        <w:right w:val="none" w:sz="0" w:space="0" w:color="auto"/>
      </w:divBdr>
    </w:div>
    <w:div w:id="15188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1893</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Istrate</dc:creator>
  <cp:keywords/>
  <dc:description/>
  <cp:lastModifiedBy>Alexandru Istrate</cp:lastModifiedBy>
  <cp:revision>32</cp:revision>
  <dcterms:created xsi:type="dcterms:W3CDTF">2019-10-28T05:23:00Z</dcterms:created>
  <dcterms:modified xsi:type="dcterms:W3CDTF">2019-10-28T13:13:00Z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id="LlHlZWPg"/&gt;&lt;style id="http://www.zotero.org/styles/springer-vancouver-brackets" locale="en-US" hasBibliography="1" bibliographyStyleHasBeenSet="0"/&gt;&lt;prefs&gt;&lt;pref name="fieldType" value="Field"/&gt;&lt;p</vt:lpwstr>
  </property>
  <property fmtid="{D5CDD505-2E9C-101B-9397-08002B2CF9AE}" pid="3" name="ZOTERO_PREF_2">
    <vt:lpwstr>ref name="automaticJournalAbbreviations" value="true"/&gt;&lt;/prefs&gt;&lt;/data&gt;</vt:lpwstr>
  </property>
</Properties>
</file>