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 w:val="18"/>
          <w:szCs w:val="18"/>
        </w:rPr>
        <w:id w:val="0"/>
        <w:showingPlcHdr/>
        <w:docPartObj>
          <w:docPartGallery w:val="Table of Contents"/>
          <w:docPartUnique/>
        </w:docPartObj>
      </w:sdtPr>
      <w:sdtEndPr>
        <w:rPr>
          <w:sz w:val="18"/>
          <w:szCs w:val="18"/>
        </w:rPr>
      </w:sdtEndPr>
      <w:sdtContent>
        <w:p>
          <w:pPr>
            <w:rPr>
              <w:sz w:val="18"/>
              <w:szCs w:val="18"/>
            </w:rPr>
          </w:pPr>
        </w:p>
      </w:sdtContent>
    </w:sdt>
    <w:tbl>
      <w:tblPr>
        <w:tblStyle w:val="13"/>
        <w:tblW w:w="4997" w:type="pct"/>
        <w:jc w:val="center"/>
        <w:tblLayout w:type="autofit"/>
        <w:tblCellMar>
          <w:top w:w="0" w:type="dxa"/>
          <w:left w:w="108" w:type="dxa"/>
          <w:bottom w:w="0" w:type="dxa"/>
          <w:right w:w="108" w:type="dxa"/>
        </w:tblCellMar>
      </w:tblPr>
      <w:tblGrid>
        <w:gridCol w:w="814"/>
        <w:gridCol w:w="1304"/>
        <w:gridCol w:w="1177"/>
        <w:gridCol w:w="1177"/>
        <w:gridCol w:w="1278"/>
        <w:gridCol w:w="1278"/>
        <w:gridCol w:w="1177"/>
        <w:gridCol w:w="1324"/>
        <w:gridCol w:w="1285"/>
      </w:tblGrid>
      <w:tr>
        <w:tblPrEx>
          <w:tblCellMar>
            <w:top w:w="0" w:type="dxa"/>
            <w:left w:w="108" w:type="dxa"/>
            <w:bottom w:w="0" w:type="dxa"/>
            <w:right w:w="108" w:type="dxa"/>
          </w:tblCellMar>
        </w:tblPrEx>
        <w:trPr>
          <w:cantSplit/>
          <w:trHeight w:val="90" w:hRule="atLeast"/>
          <w:tblHeader/>
          <w:jc w:val="center"/>
        </w:trPr>
        <w:tc>
          <w:tcPr>
            <w:tcW w:w="980" w:type="pct"/>
            <w:gridSpan w:val="2"/>
            <w:vMerge w:val="restart"/>
            <w:tcBorders>
              <w:top w:val="single" w:color="F79646" w:sz="8" w:space="0"/>
              <w:left w:val="single" w:color="F79646" w:sz="8" w:space="0"/>
              <w:right w:val="single" w:color="F79646" w:sz="8" w:space="0"/>
            </w:tcBorders>
            <w:shd w:val="clear" w:color="auto" w:fill="F79646"/>
            <w:tcMar>
              <w:top w:w="0" w:type="dxa"/>
              <w:left w:w="0" w:type="dxa"/>
              <w:bottom w:w="0" w:type="dxa"/>
              <w:right w:w="0" w:type="dxa"/>
            </w:tcMar>
            <w:vAlign w:val="center"/>
          </w:tcPr>
          <w:p>
            <w:pPr>
              <w:spacing w:before="0" w:after="0" w:line="240" w:lineRule="auto"/>
              <w:ind w:left="0" w:right="0" w:firstLine="0"/>
              <w:jc w:val="left"/>
              <w:rPr>
                <w:rFonts w:hint="default"/>
                <w:b/>
                <w:bCs w:val="0"/>
                <w:color w:val="000000"/>
                <w:sz w:val="18"/>
                <w:szCs w:val="18"/>
                <w:lang w:val="en"/>
              </w:rPr>
            </w:pPr>
            <w:r>
              <w:rPr>
                <w:rFonts w:ascii="Arial" w:hAnsi="Arial" w:eastAsia="Arial" w:cs="Arial"/>
                <w:b/>
                <w:bCs w:val="0"/>
                <w:color w:val="000000"/>
                <w:sz w:val="18"/>
                <w:szCs w:val="18"/>
              </w:rPr>
              <w:t>Interval</w:t>
            </w:r>
            <w:r>
              <w:rPr>
                <w:rFonts w:hint="default" w:ascii="Arial" w:hAnsi="Arial" w:eastAsia="Arial" w:cs="Arial"/>
                <w:b/>
                <w:bCs w:val="0"/>
                <w:color w:val="000000"/>
                <w:sz w:val="18"/>
                <w:szCs w:val="18"/>
                <w:lang w:val="en"/>
              </w:rPr>
              <w:t xml:space="preserve"> (zile) de la data confirmarii</w:t>
            </w:r>
            <w:bookmarkStart w:id="17" w:name="_GoBack"/>
            <w:bookmarkEnd w:id="17"/>
            <w:r>
              <w:rPr>
                <w:rFonts w:hint="default" w:ascii="Arial" w:hAnsi="Arial" w:eastAsia="Arial" w:cs="Arial"/>
                <w:b/>
                <w:bCs w:val="0"/>
                <w:color w:val="000000"/>
                <w:sz w:val="18"/>
                <w:szCs w:val="18"/>
                <w:lang w:val="en"/>
              </w:rPr>
              <w:t>)</w:t>
            </w:r>
          </w:p>
        </w:tc>
        <w:tc>
          <w:tcPr>
            <w:tcW w:w="544"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(0,3]</w:t>
            </w:r>
          </w:p>
        </w:tc>
        <w:tc>
          <w:tcPr>
            <w:tcW w:w="544"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(3,7]</w:t>
            </w:r>
          </w:p>
        </w:tc>
        <w:tc>
          <w:tcPr>
            <w:tcW w:w="591"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(7,14]</w:t>
            </w:r>
          </w:p>
        </w:tc>
        <w:tc>
          <w:tcPr>
            <w:tcW w:w="591"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(14,21]</w:t>
            </w:r>
          </w:p>
        </w:tc>
        <w:tc>
          <w:tcPr>
            <w:tcW w:w="544"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(21,28]</w:t>
            </w:r>
          </w:p>
        </w:tc>
        <w:tc>
          <w:tcPr>
            <w:tcW w:w="612"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(28,Inf]</w:t>
            </w:r>
          </w:p>
        </w:tc>
        <w:tc>
          <w:tcPr>
            <w:tcW w:w="591" w:type="pct"/>
            <w:tcBorders>
              <w:top w:val="single" w:color="F79646" w:sz="8" w:space="0"/>
              <w:left w:val="single" w:color="F79646" w:sz="8" w:space="0"/>
              <w:bottom w:val="single" w:color="FFFFFF" w:sz="16" w:space="0"/>
              <w:right w:val="single" w:color="F79646" w:sz="8" w:space="0"/>
            </w:tcBorders>
            <w:shd w:val="clear" w:color="auto" w:fill="F79646"/>
            <w:tcMar>
              <w:top w:w="0" w:type="dxa"/>
              <w:left w:w="0" w:type="dxa"/>
              <w:bottom w:w="0" w:type="dxa"/>
              <w:right w:w="0" w:type="dxa"/>
            </w:tcMar>
            <w:vAlign w:val="center"/>
          </w:tcPr>
          <w:p>
            <w:pPr>
              <w:spacing w:before="40" w:after="40" w:line="240" w:lineRule="auto"/>
              <w:ind w:left="100" w:right="100" w:firstLine="0"/>
              <w:jc w:val="left"/>
              <w:rPr>
                <w:b/>
                <w:bCs w:val="0"/>
                <w:i/>
                <w:iCs/>
                <w:color w:val="FFFFFF"/>
                <w:sz w:val="18"/>
                <w:szCs w:val="18"/>
              </w:rPr>
            </w:pPr>
            <w:r>
              <w:rPr>
                <w:rFonts w:ascii="Arial" w:hAnsi="Arial" w:eastAsia="Arial" w:cs="Arial"/>
                <w:b/>
                <w:bCs w:val="0"/>
                <w:i/>
                <w:iCs/>
                <w:color w:val="FFFFFF"/>
                <w:sz w:val="18"/>
                <w:szCs w:val="18"/>
              </w:rPr>
              <w:t>Total</w:t>
            </w:r>
          </w:p>
        </w:tc>
      </w:tr>
      <w:tr>
        <w:tblPrEx>
          <w:tblCellMar>
            <w:top w:w="0" w:type="dxa"/>
            <w:left w:w="108" w:type="dxa"/>
            <w:bottom w:w="0" w:type="dxa"/>
            <w:right w:w="108" w:type="dxa"/>
          </w:tblCellMar>
        </w:tblPrEx>
        <w:trPr>
          <w:cantSplit/>
          <w:trHeight w:val="0" w:hRule="atLeast"/>
          <w:jc w:val="center"/>
        </w:trPr>
        <w:tc>
          <w:tcPr>
            <w:tcW w:w="980" w:type="pct"/>
            <w:gridSpan w:val="2"/>
            <w:vMerge w:val="continue"/>
            <w:tcBorders>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544"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i/>
                <w:iCs/>
                <w:color w:val="000000"/>
                <w:sz w:val="18"/>
                <w:szCs w:val="18"/>
              </w:rPr>
            </w:pPr>
            <w:r>
              <w:rPr>
                <w:rFonts w:ascii="Arial" w:hAnsi="Arial" w:eastAsia="Arial" w:cs="Arial"/>
                <w:b w:val="0"/>
                <w:bCs/>
                <w:i/>
                <w:iCs/>
                <w:color w:val="000000"/>
                <w:sz w:val="18"/>
                <w:szCs w:val="18"/>
              </w:rPr>
              <w:t>53 (4.7%)</w:t>
            </w:r>
          </w:p>
        </w:tc>
        <w:tc>
          <w:tcPr>
            <w:tcW w:w="544"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i/>
                <w:iCs/>
                <w:color w:val="000000"/>
                <w:sz w:val="18"/>
                <w:szCs w:val="18"/>
              </w:rPr>
            </w:pPr>
            <w:r>
              <w:rPr>
                <w:rFonts w:ascii="Arial" w:hAnsi="Arial" w:eastAsia="Arial" w:cs="Arial"/>
                <w:b w:val="0"/>
                <w:bCs/>
                <w:i/>
                <w:iCs/>
                <w:color w:val="000000"/>
                <w:sz w:val="18"/>
                <w:szCs w:val="18"/>
              </w:rPr>
              <w:t>218 (19.4%)</w:t>
            </w:r>
          </w:p>
        </w:tc>
        <w:tc>
          <w:tcPr>
            <w:tcW w:w="591"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i/>
                <w:iCs/>
                <w:color w:val="000000"/>
                <w:sz w:val="18"/>
                <w:szCs w:val="18"/>
              </w:rPr>
            </w:pPr>
            <w:r>
              <w:rPr>
                <w:rFonts w:ascii="Arial" w:hAnsi="Arial" w:eastAsia="Arial" w:cs="Arial"/>
                <w:b w:val="0"/>
                <w:bCs/>
                <w:i/>
                <w:iCs/>
                <w:color w:val="000000"/>
                <w:sz w:val="18"/>
                <w:szCs w:val="18"/>
              </w:rPr>
              <w:t>515 (45.9%)</w:t>
            </w:r>
          </w:p>
        </w:tc>
        <w:tc>
          <w:tcPr>
            <w:tcW w:w="591"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i/>
                <w:iCs/>
                <w:color w:val="000000"/>
                <w:sz w:val="18"/>
                <w:szCs w:val="18"/>
              </w:rPr>
            </w:pPr>
            <w:r>
              <w:rPr>
                <w:rFonts w:ascii="Arial" w:hAnsi="Arial" w:eastAsia="Arial" w:cs="Arial"/>
                <w:b/>
                <w:bCs w:val="0"/>
                <w:i/>
                <w:iCs/>
                <w:color w:val="000000"/>
                <w:sz w:val="18"/>
                <w:szCs w:val="18"/>
              </w:rPr>
              <w:t>220 (19.6%)</w:t>
            </w:r>
          </w:p>
        </w:tc>
        <w:tc>
          <w:tcPr>
            <w:tcW w:w="544"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i/>
                <w:iCs/>
                <w:color w:val="000000"/>
                <w:sz w:val="18"/>
                <w:szCs w:val="18"/>
              </w:rPr>
            </w:pPr>
            <w:r>
              <w:rPr>
                <w:rFonts w:ascii="Arial" w:hAnsi="Arial" w:eastAsia="Arial" w:cs="Arial"/>
                <w:b w:val="0"/>
                <w:bCs/>
                <w:i/>
                <w:iCs/>
                <w:color w:val="000000"/>
                <w:sz w:val="18"/>
                <w:szCs w:val="18"/>
              </w:rPr>
              <w:t>84 (7.5%)</w:t>
            </w:r>
          </w:p>
        </w:tc>
        <w:tc>
          <w:tcPr>
            <w:tcW w:w="612"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i/>
                <w:iCs/>
                <w:color w:val="000000"/>
                <w:sz w:val="18"/>
                <w:szCs w:val="18"/>
              </w:rPr>
            </w:pPr>
            <w:r>
              <w:rPr>
                <w:rFonts w:ascii="Arial" w:hAnsi="Arial" w:eastAsia="Arial" w:cs="Arial"/>
                <w:b w:val="0"/>
                <w:bCs/>
                <w:i/>
                <w:iCs/>
                <w:color w:val="000000"/>
                <w:sz w:val="18"/>
                <w:szCs w:val="18"/>
              </w:rPr>
              <w:t>31 (2.8%)</w:t>
            </w:r>
          </w:p>
        </w:tc>
        <w:tc>
          <w:tcPr>
            <w:tcW w:w="591" w:type="pct"/>
            <w:tcBorders>
              <w:top w:val="single" w:color="FFFFFF" w:sz="4"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i/>
                <w:iCs/>
                <w:color w:val="000000"/>
                <w:sz w:val="18"/>
                <w:szCs w:val="18"/>
              </w:rPr>
            </w:pPr>
            <w:r>
              <w:rPr>
                <w:rFonts w:ascii="Arial" w:hAnsi="Arial" w:eastAsia="Arial" w:cs="Arial"/>
                <w:b w:val="0"/>
                <w:bCs/>
                <w:i/>
                <w:iCs/>
                <w:color w:val="000000"/>
                <w:sz w:val="18"/>
                <w:szCs w:val="18"/>
              </w:rPr>
              <w:t>1121</w:t>
            </w:r>
          </w:p>
        </w:tc>
      </w:tr>
      <w:tr>
        <w:tblPrEx>
          <w:tblCellMar>
            <w:top w:w="0" w:type="dxa"/>
            <w:left w:w="108" w:type="dxa"/>
            <w:bottom w:w="0" w:type="dxa"/>
            <w:right w:w="108" w:type="dxa"/>
          </w:tblCellMar>
        </w:tblPrEx>
        <w:trPr>
          <w:cantSplit/>
          <w:trHeight w:val="0" w:hRule="atLeast"/>
          <w:jc w:val="center"/>
        </w:trPr>
        <w:tc>
          <w:tcPr>
            <w:tcW w:w="377" w:type="pct"/>
            <w:vMerge w:val="restar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RT - PCR</w:t>
            </w: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detectable</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35 (81.4%)</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157 (82.6%)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301 (67.6%)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119 (56.7%)</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47 (56.6%)</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16 (51.6%)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675 (67.4%)</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negative</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8 (18.6%)</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33 (17.4%)</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144 (32.4%)</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val="0"/>
                <w:bCs/>
                <w:color w:val="BFBFBF" w:themeColor="background1" w:themeShade="BF"/>
                <w:sz w:val="18"/>
                <w:szCs w:val="18"/>
              </w:rPr>
              <w:t>91 (43.3%)</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36 (43.4%)</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15 (48.4%)</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327 (32.6%)</w:t>
            </w:r>
          </w:p>
        </w:tc>
      </w:tr>
      <w:tr>
        <w:tblPrEx>
          <w:tblCellMar>
            <w:top w:w="0" w:type="dxa"/>
            <w:left w:w="108" w:type="dxa"/>
            <w:bottom w:w="0" w:type="dxa"/>
            <w:right w:w="108" w:type="dxa"/>
          </w:tblCellMar>
        </w:tblPrEx>
        <w:trPr>
          <w:cantSplit/>
          <w:trHeight w:val="0" w:hRule="atLeast"/>
          <w:jc w:val="center"/>
        </w:trPr>
        <w:tc>
          <w:tcPr>
            <w:tcW w:w="377" w:type="pct"/>
            <w:vMerge w:val="restar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IgM</w:t>
            </w: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μ ±DS</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3.15 ±9.72</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1.85 ±3.97</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4.65 ±12.7</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val="0"/>
                <w:bCs/>
                <w:color w:val="BFBFBF" w:themeColor="background1" w:themeShade="BF"/>
                <w:sz w:val="18"/>
                <w:szCs w:val="18"/>
              </w:rPr>
              <w:t>8.58 ±20.7</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3.15 ±4.3</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4.74 ±4.39</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4.14 ±11.9</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Gμ ±DS</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0.745 ±3.82</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0.784 ±2.98</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1.46 ±3.65</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2.77 ±3.79</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1.77 ±2.84</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2.82 ±3.13</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1.30 ±3.65</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M (min:max)</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0.41 (0.19:52.57)</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0.57 (0.17:26.56)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1.14 (0.22:123.08)</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2.56 (0.33:124.84)</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1.24 (0.49:20.32)</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4.03 (0.52:15.9)</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0.97 (0.17:124.84)</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M (IQR)</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0.41 (0.34-1.38)</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0.57 (0.36-1.29)</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1.14 (0.53-2.6)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val="0"/>
                <w:bCs/>
                <w:color w:val="000000"/>
                <w:sz w:val="18"/>
                <w:szCs w:val="18"/>
              </w:rPr>
              <w:t>2.56 (0.87-5.36)</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1.24 (0.71-3.74)</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4.03 (0.99-7.92)</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0.97 (0.47-</w:t>
            </w:r>
            <w:r>
              <w:rPr>
                <w:rFonts w:ascii="Arial" w:hAnsi="Arial" w:eastAsia="Arial" w:cs="Arial"/>
                <w:b/>
                <w:bCs w:val="0"/>
                <w:color w:val="000000"/>
                <w:sz w:val="18"/>
                <w:szCs w:val="18"/>
              </w:rPr>
              <w:t>2.61</w:t>
            </w:r>
            <w:r>
              <w:rPr>
                <w:rFonts w:ascii="Arial" w:hAnsi="Arial" w:eastAsia="Arial" w:cs="Arial"/>
                <w:b w:val="0"/>
                <w:bCs/>
                <w:color w:val="000000"/>
                <w:sz w:val="18"/>
                <w:szCs w:val="18"/>
              </w:rPr>
              <w:t>)</w:t>
            </w:r>
          </w:p>
        </w:tc>
      </w:tr>
      <w:tr>
        <w:tblPrEx>
          <w:tblCellMar>
            <w:top w:w="0" w:type="dxa"/>
            <w:left w:w="108" w:type="dxa"/>
            <w:bottom w:w="0" w:type="dxa"/>
            <w:right w:w="108" w:type="dxa"/>
          </w:tblCellMar>
        </w:tblPrEx>
        <w:trPr>
          <w:cantSplit/>
          <w:trHeight w:val="0" w:hRule="atLeast"/>
          <w:jc w:val="center"/>
        </w:trPr>
        <w:tc>
          <w:tcPr>
            <w:tcW w:w="377" w:type="pct"/>
            <w:vMerge w:val="restar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IgG</w:t>
            </w: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μ ±DS</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9.41 ±34.4</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3.01 ±7.02</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4.74 ±13.1</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val="0"/>
                <w:bCs/>
                <w:color w:val="BFBFBF" w:themeColor="background1" w:themeShade="BF"/>
                <w:sz w:val="18"/>
                <w:szCs w:val="18"/>
              </w:rPr>
              <w:t>10.01 ±20.5</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7.67 ±9.87</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32.44 ±36.0</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5.95 ±16.3</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Gμ ±DS</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1.17 ±4.06</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1.12 ±2.89</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1.58 ±3.23</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3.29 ±4.07</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3.75 ±3.47</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12.81 ±5.65</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1.67 ±3.65</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M (min:max)</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0.69 (0.5:178.19)</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0.72 (0.49:36.67)</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0.98 (0.52:130.36)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BFBFBF" w:themeColor="background1" w:themeShade="BF"/>
                <w:sz w:val="18"/>
                <w:szCs w:val="18"/>
              </w:rPr>
            </w:pPr>
            <w:r>
              <w:rPr>
                <w:rFonts w:ascii="Arial" w:hAnsi="Arial" w:eastAsia="Arial" w:cs="Arial"/>
                <w:b/>
                <w:bCs w:val="0"/>
                <w:color w:val="BFBFBF" w:themeColor="background1" w:themeShade="BF"/>
                <w:sz w:val="18"/>
                <w:szCs w:val="18"/>
              </w:rPr>
              <w:t>2 (0.6:133.35)</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3.8 (0.66:39.48)</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21.46 (0.66:110.17)</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BFBFBF" w:themeColor="background1" w:themeShade="BF"/>
                <w:sz w:val="18"/>
                <w:szCs w:val="18"/>
              </w:rPr>
            </w:pPr>
            <w:r>
              <w:rPr>
                <w:rFonts w:ascii="Arial" w:hAnsi="Arial" w:eastAsia="Arial" w:cs="Arial"/>
                <w:b w:val="0"/>
                <w:bCs/>
                <w:color w:val="BFBFBF" w:themeColor="background1" w:themeShade="BF"/>
                <w:sz w:val="18"/>
                <w:szCs w:val="18"/>
              </w:rPr>
              <w:t>0.9 (0.49:178.19)</w:t>
            </w:r>
          </w:p>
        </w:tc>
      </w:tr>
      <w:tr>
        <w:tblPrEx>
          <w:tblCellMar>
            <w:top w:w="0" w:type="dxa"/>
            <w:left w:w="108" w:type="dxa"/>
            <w:bottom w:w="0" w:type="dxa"/>
            <w:right w:w="108" w:type="dxa"/>
          </w:tblCellMar>
        </w:tblPrEx>
        <w:trPr>
          <w:cantSplit/>
          <w:trHeight w:val="0" w:hRule="atLeast"/>
          <w:jc w:val="center"/>
        </w:trPr>
        <w:tc>
          <w:tcPr>
            <w:tcW w:w="377" w:type="pct"/>
            <w:vMerge w:val="continue"/>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p>
        </w:tc>
        <w:tc>
          <w:tcPr>
            <w:tcW w:w="60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bCs w:val="0"/>
                <w:color w:val="000000"/>
                <w:sz w:val="18"/>
                <w:szCs w:val="18"/>
              </w:rPr>
              <w:t>M (IQR)</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0.69 (0.58-0.86)</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0.72 (0.63-0.98)</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0.98 (0.68-2.2)</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bCs w:val="0"/>
                <w:color w:val="000000"/>
                <w:sz w:val="18"/>
                <w:szCs w:val="18"/>
              </w:rPr>
            </w:pPr>
            <w:r>
              <w:rPr>
                <w:rFonts w:ascii="Arial" w:hAnsi="Arial" w:eastAsia="Arial" w:cs="Arial"/>
                <w:b w:val="0"/>
                <w:bCs/>
                <w:color w:val="000000"/>
                <w:sz w:val="18"/>
                <w:szCs w:val="18"/>
              </w:rPr>
              <w:t>2 (1.01-8.41)</w:t>
            </w:r>
          </w:p>
        </w:tc>
        <w:tc>
          <w:tcPr>
            <w:tcW w:w="544"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3.8 (1.15-9.05)</w:t>
            </w:r>
          </w:p>
        </w:tc>
        <w:tc>
          <w:tcPr>
            <w:tcW w:w="612"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21.46 (2.03-37.66)</w:t>
            </w:r>
          </w:p>
        </w:tc>
        <w:tc>
          <w:tcPr>
            <w:tcW w:w="591" w:type="pct"/>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b w:val="0"/>
                <w:bCs/>
                <w:color w:val="000000"/>
                <w:sz w:val="18"/>
                <w:szCs w:val="18"/>
              </w:rPr>
            </w:pPr>
            <w:r>
              <w:rPr>
                <w:rFonts w:ascii="Arial" w:hAnsi="Arial" w:eastAsia="Arial" w:cs="Arial"/>
                <w:b w:val="0"/>
                <w:bCs/>
                <w:color w:val="000000"/>
                <w:sz w:val="18"/>
                <w:szCs w:val="18"/>
              </w:rPr>
              <w:t>0.9 (0.67-</w:t>
            </w:r>
            <w:r>
              <w:rPr>
                <w:rFonts w:ascii="Arial" w:hAnsi="Arial" w:eastAsia="Arial" w:cs="Arial"/>
                <w:b/>
                <w:bCs w:val="0"/>
                <w:color w:val="000000"/>
                <w:sz w:val="18"/>
                <w:szCs w:val="18"/>
              </w:rPr>
              <w:t>2.9</w:t>
            </w:r>
            <w:r>
              <w:rPr>
                <w:rFonts w:ascii="Arial" w:hAnsi="Arial" w:eastAsia="Arial" w:cs="Arial"/>
                <w:b w:val="0"/>
                <w:bCs/>
                <w:color w:val="000000"/>
                <w:sz w:val="18"/>
                <w:szCs w:val="18"/>
              </w:rPr>
              <w:t>)</w:t>
            </w:r>
          </w:p>
        </w:tc>
      </w:tr>
      <w:tr>
        <w:tblPrEx>
          <w:tblCellMar>
            <w:top w:w="0" w:type="dxa"/>
            <w:left w:w="108" w:type="dxa"/>
            <w:bottom w:w="0" w:type="dxa"/>
            <w:right w:w="108" w:type="dxa"/>
          </w:tblCellMar>
        </w:tblPrEx>
        <w:trPr>
          <w:cantSplit/>
          <w:trHeight w:val="0" w:hRule="atLeast"/>
          <w:jc w:val="center"/>
        </w:trPr>
        <w:tc>
          <w:tcPr>
            <w:tcW w:w="5000" w:type="pct"/>
            <w:gridSpan w:val="9"/>
            <w:tcBorders>
              <w:top w:val="single" w:color="F79646" w:sz="8" w:space="0"/>
              <w:left w:val="single" w:color="F79646" w:sz="8" w:space="0"/>
              <w:bottom w:val="single" w:color="F79646" w:sz="8" w:space="0"/>
              <w:right w:val="single" w:color="F79646"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rFonts w:hint="default" w:ascii="Arial" w:hAnsi="Arial" w:eastAsia="Arial" w:cs="Arial"/>
                <w:b w:val="0"/>
                <w:bCs/>
                <w:color w:val="000000"/>
                <w:sz w:val="18"/>
                <w:szCs w:val="18"/>
                <w:lang w:val="en"/>
              </w:rPr>
            </w:pPr>
            <w:r>
              <w:rPr>
                <w:rFonts w:ascii="Arial" w:hAnsi="Arial" w:eastAsia="Arial" w:cs="Arial"/>
                <w:b w:val="0"/>
                <w:bCs/>
                <w:color w:val="000000"/>
                <w:sz w:val="18"/>
                <w:szCs w:val="18"/>
              </w:rPr>
              <w:t>μ ±DS</w:t>
            </w:r>
            <w:r>
              <w:rPr>
                <w:rFonts w:hint="default" w:ascii="Arial" w:hAnsi="Arial" w:eastAsia="Arial" w:cs="Arial"/>
                <w:b w:val="0"/>
                <w:bCs/>
                <w:color w:val="000000"/>
                <w:sz w:val="18"/>
                <w:szCs w:val="18"/>
                <w:lang w:val="en"/>
              </w:rPr>
              <w:t>: media, deviatia standard;</w:t>
            </w:r>
          </w:p>
          <w:p>
            <w:pPr>
              <w:spacing w:before="0" w:after="0" w:line="240" w:lineRule="auto"/>
              <w:ind w:left="0" w:right="0" w:firstLine="0"/>
              <w:jc w:val="left"/>
              <w:rPr>
                <w:rFonts w:hint="default" w:ascii="Arial" w:hAnsi="Arial" w:eastAsia="Arial" w:cs="Arial"/>
                <w:b w:val="0"/>
                <w:bCs/>
                <w:color w:val="000000"/>
                <w:sz w:val="18"/>
                <w:szCs w:val="18"/>
                <w:lang w:val="en"/>
              </w:rPr>
            </w:pPr>
            <w:r>
              <w:rPr>
                <w:rFonts w:ascii="Arial" w:hAnsi="Arial" w:eastAsia="Arial" w:cs="Arial"/>
                <w:b w:val="0"/>
                <w:bCs/>
                <w:color w:val="000000"/>
                <w:sz w:val="18"/>
                <w:szCs w:val="18"/>
              </w:rPr>
              <w:t>Gμ ±DS</w:t>
            </w:r>
            <w:r>
              <w:rPr>
                <w:rFonts w:hint="default" w:ascii="Arial" w:hAnsi="Arial" w:eastAsia="Arial" w:cs="Arial"/>
                <w:b w:val="0"/>
                <w:bCs/>
                <w:color w:val="000000"/>
                <w:sz w:val="18"/>
                <w:szCs w:val="18"/>
                <w:lang w:val="en"/>
              </w:rPr>
              <w:t>: media geometrica, deviatia standard</w:t>
            </w:r>
          </w:p>
          <w:p>
            <w:pPr>
              <w:spacing w:before="0" w:after="0" w:line="240" w:lineRule="auto"/>
              <w:ind w:left="0" w:right="0" w:firstLine="0"/>
              <w:jc w:val="left"/>
              <w:rPr>
                <w:rFonts w:hint="default" w:ascii="Arial" w:hAnsi="Arial" w:eastAsia="Arial" w:cs="Arial"/>
                <w:b w:val="0"/>
                <w:bCs/>
                <w:color w:val="000000"/>
                <w:sz w:val="18"/>
                <w:szCs w:val="18"/>
                <w:lang w:val="en"/>
              </w:rPr>
            </w:pPr>
            <w:r>
              <w:rPr>
                <w:rFonts w:ascii="Arial" w:hAnsi="Arial" w:eastAsia="Arial" w:cs="Arial"/>
                <w:b w:val="0"/>
                <w:bCs/>
                <w:color w:val="000000"/>
                <w:sz w:val="18"/>
                <w:szCs w:val="18"/>
              </w:rPr>
              <w:t>M (min:max)</w:t>
            </w:r>
            <w:r>
              <w:rPr>
                <w:rFonts w:hint="default" w:ascii="Arial" w:hAnsi="Arial" w:eastAsia="Arial" w:cs="Arial"/>
                <w:b w:val="0"/>
                <w:bCs/>
                <w:color w:val="000000"/>
                <w:sz w:val="18"/>
                <w:szCs w:val="18"/>
                <w:lang w:val="en"/>
              </w:rPr>
              <w:t>: mediana, min, max</w:t>
            </w:r>
          </w:p>
          <w:p>
            <w:pPr>
              <w:spacing w:before="0" w:after="0" w:line="240" w:lineRule="auto"/>
              <w:ind w:left="0" w:right="0" w:firstLine="0"/>
              <w:jc w:val="left"/>
              <w:rPr>
                <w:rFonts w:hint="default" w:ascii="Arial" w:hAnsi="Arial" w:eastAsia="Arial" w:cs="Arial"/>
                <w:b w:val="0"/>
                <w:bCs/>
                <w:color w:val="000000"/>
                <w:sz w:val="18"/>
                <w:szCs w:val="18"/>
                <w:lang w:val="en"/>
              </w:rPr>
            </w:pPr>
            <w:r>
              <w:rPr>
                <w:rFonts w:ascii="Arial" w:hAnsi="Arial" w:eastAsia="Arial" w:cs="Arial"/>
                <w:b w:val="0"/>
                <w:bCs/>
                <w:color w:val="000000"/>
                <w:sz w:val="18"/>
                <w:szCs w:val="18"/>
              </w:rPr>
              <w:t>M (IQR)</w:t>
            </w:r>
            <w:r>
              <w:rPr>
                <w:rFonts w:hint="default" w:ascii="Arial" w:hAnsi="Arial" w:eastAsia="Arial" w:cs="Arial"/>
                <w:b w:val="0"/>
                <w:bCs/>
                <w:color w:val="000000"/>
                <w:sz w:val="18"/>
                <w:szCs w:val="18"/>
                <w:lang w:val="en"/>
              </w:rPr>
              <w:t>: mediana, IQR</w:t>
            </w:r>
          </w:p>
        </w:tc>
      </w:tr>
    </w:tbl>
    <w:p>
      <w:pPr>
        <w:pStyle w:val="2"/>
        <w:rPr>
          <w:sz w:val="18"/>
          <w:szCs w:val="18"/>
        </w:rPr>
      </w:pPr>
      <w:bookmarkStart w:id="0" w:name="methods"/>
      <w:r>
        <w:rPr>
          <w:sz w:val="18"/>
          <w:szCs w:val="18"/>
        </w:rPr>
        <w:t>Methods</w:t>
      </w:r>
    </w:p>
    <w:p>
      <w:pPr>
        <w:pStyle w:val="25"/>
        <w:rPr>
          <w:sz w:val="18"/>
          <w:szCs w:val="18"/>
        </w:rPr>
      </w:pPr>
      <w:r>
        <w:rPr>
          <w:sz w:val="18"/>
          <w:szCs w:val="18"/>
        </w:rPr>
        <w:t>Am exclus pacientii: (n=21 / 493)</w:t>
      </w:r>
    </w:p>
    <w:p>
      <w:pPr>
        <w:pStyle w:val="26"/>
        <w:numPr>
          <w:ilvl w:val="0"/>
          <w:numId w:val="1"/>
        </w:numPr>
        <w:rPr>
          <w:sz w:val="18"/>
          <w:szCs w:val="18"/>
        </w:rPr>
      </w:pPr>
      <w:r>
        <w:rPr>
          <w:sz w:val="18"/>
          <w:szCs w:val="18"/>
        </w:rPr>
        <w:t>la care nu am gasit data confirmarii sau data primului test</w:t>
      </w:r>
    </w:p>
    <w:p>
      <w:pPr>
        <w:pStyle w:val="26"/>
        <w:numPr>
          <w:ilvl w:val="0"/>
          <w:numId w:val="1"/>
        </w:numPr>
        <w:rPr>
          <w:sz w:val="18"/>
          <w:szCs w:val="18"/>
        </w:rPr>
      </w:pPr>
      <w:r>
        <w:rPr>
          <w:sz w:val="18"/>
          <w:szCs w:val="18"/>
        </w:rPr>
        <w:t>care au avut mai mult de +/- 14 zile intre data confirmarii si data internarii</w:t>
      </w:r>
    </w:p>
    <w:p>
      <w:pPr>
        <w:pStyle w:val="26"/>
        <w:numPr>
          <w:ilvl w:val="0"/>
          <w:numId w:val="1"/>
        </w:numPr>
        <w:rPr>
          <w:sz w:val="18"/>
          <w:szCs w:val="18"/>
        </w:rPr>
      </w:pPr>
      <w:r>
        <w:rPr>
          <w:sz w:val="18"/>
          <w:szCs w:val="18"/>
        </w:rPr>
        <w:t>care au avut mai mult de 14 zile intre data confirmarii si data primului test</w:t>
      </w:r>
    </w:p>
    <w:p>
      <w:pPr>
        <w:pStyle w:val="26"/>
        <w:numPr>
          <w:ilvl w:val="0"/>
          <w:numId w:val="1"/>
        </w:numPr>
        <w:rPr>
          <w:sz w:val="18"/>
          <w:szCs w:val="18"/>
        </w:rPr>
      </w:pPr>
      <w:r>
        <w:rPr>
          <w:sz w:val="18"/>
          <w:szCs w:val="18"/>
        </w:rPr>
        <w:t>la care data primului test a fost inainte de data confirmarii</w:t>
      </w:r>
    </w:p>
    <w:p>
      <w:pPr>
        <w:pStyle w:val="26"/>
        <w:numPr>
          <w:ilvl w:val="0"/>
          <w:numId w:val="1"/>
        </w:numPr>
        <w:rPr>
          <w:sz w:val="18"/>
          <w:szCs w:val="18"/>
        </w:rPr>
      </w:pPr>
      <w:r>
        <w:rPr>
          <w:sz w:val="18"/>
          <w:szCs w:val="18"/>
        </w:rPr>
        <w:t>duplicate (2 cazuri)</w:t>
      </w:r>
    </w:p>
    <w:p>
      <w:pPr>
        <w:pStyle w:val="25"/>
        <w:rPr>
          <w:sz w:val="18"/>
          <w:szCs w:val="18"/>
        </w:rPr>
      </w:pPr>
      <w:r>
        <w:rPr>
          <w:sz w:val="18"/>
          <w:szCs w:val="18"/>
        </w:rPr>
        <w:t>Avem o problema cu decesesle. Figureaza ca decedati doar pacientii care au decedat in SCBI. Baza de date include doar vreo 500 dintre toate cazurile de COVID, deci si doar cateva decese (11) dintre toate decesele reale. Deci, avem o mortalitate de 2.3% pe esantion, care este comparabila cu mortalitatea pe judet, deci cred ca selectia cazurilor a fost ok (pentru moment).</w:t>
      </w:r>
    </w:p>
    <w:p>
      <w:pPr>
        <w:pStyle w:val="3"/>
        <w:rPr>
          <w:sz w:val="18"/>
          <w:szCs w:val="18"/>
        </w:rPr>
      </w:pPr>
      <w:r>
        <w:rPr>
          <w:sz w:val="18"/>
          <w:szCs w:val="18"/>
        </w:rPr>
        <w:t>Un pacient a avut o forma asimpomatica de boala, dar a fost internat la ICU pentru altceva. Probabil mai sunt si altii care figureaza cu internare la ICU, dar pentru altceva.</w:t>
      </w:r>
    </w:p>
    <w:p>
      <w:pPr>
        <w:pStyle w:val="3"/>
        <w:rPr>
          <w:sz w:val="18"/>
          <w:szCs w:val="18"/>
        </w:rPr>
      </w:pPr>
      <w:r>
        <w:rPr>
          <w:sz w:val="18"/>
          <w:szCs w:val="18"/>
        </w:rPr>
        <w:t>Pe grafice, am unit formele asimptomatice si usoare, respectiv formele intermediare, severe si crititce). Graficele arata doar primele 30 zile de la data confirmarii, dar calculele sunt facute cu toate datele. Nu am separat internarile inainte si dupa 24 iunie, pentru ca oricum se separa de la sine daca nu au destule date.</w:t>
      </w:r>
    </w:p>
    <w:bookmarkEnd w:id="0"/>
    <w:p>
      <w:pPr>
        <w:pStyle w:val="2"/>
        <w:rPr>
          <w:sz w:val="18"/>
          <w:szCs w:val="18"/>
        </w:rPr>
      </w:pPr>
      <w:bookmarkStart w:id="1" w:name="results"/>
      <w:r>
        <w:rPr>
          <w:sz w:val="18"/>
          <w:szCs w:val="18"/>
        </w:rPr>
        <w:t>Results</w:t>
      </w:r>
    </w:p>
    <w:p>
      <w:pPr>
        <w:pStyle w:val="25"/>
        <w:rPr>
          <w:sz w:val="18"/>
          <w:szCs w:val="18"/>
        </w:rPr>
      </w:pPr>
      <w:r>
        <w:rPr>
          <w:sz w:val="18"/>
          <w:szCs w:val="18"/>
        </w:rPr>
        <w:t>For ease of analysis, we cummulated clinical forms into “mild” (asymptomatic to mild) and “severe” (intermediate to critical) clinical forms.</w:t>
      </w:r>
    </w:p>
    <w:p>
      <w:pPr>
        <w:pStyle w:val="3"/>
        <w:rPr>
          <w:sz w:val="18"/>
          <w:szCs w:val="18"/>
        </w:rPr>
      </w:pPr>
      <w:r>
        <w:rPr>
          <w:sz w:val="18"/>
          <w:szCs w:val="18"/>
        </w:rPr>
        <w:t>Both IgM and IgG showed an upwards trend with time since confirmation of the infection, more pronounced for IgG values and in patients with a more severe clinical form. Since patients showed a high degree of variability and because the date of confirmation was not a perfect replacement for the date of infection (especially during the beginning of the pandemic when tests were not readily available), our data requires aggressive aggregation to reveal any patterns. As the time-dependent increase in both IgG and IgM values remains visible after factoring in various variables (only clinical severity shown), we expect it be genuine. Both antibodies had higher average and higher variability in patients with more severe forms, suggesting that severity is linked to a higher immune reactivity, at least in a subset of patients. We decided to separate patients into high / low reactivity based on IgM and IgG values at a 75% quartile threshold: patients who had at least 1 antibody measurement above the 75% quartile of all measurements in the database (2.906 for IgG and 2.607 for IgM) were classified as “high reactivity” while the others were classified as “lower reactivity” for IgM and IgG, respectively.</w:t>
      </w:r>
    </w:p>
    <w:p>
      <w:pPr>
        <w:pStyle w:val="4"/>
        <w:rPr>
          <w:sz w:val="18"/>
          <w:szCs w:val="18"/>
        </w:rPr>
      </w:pPr>
      <w:bookmarkStart w:id="2" w:name="igm-by-time-and-clinical-form"/>
      <w:r>
        <w:rPr>
          <w:sz w:val="18"/>
          <w:szCs w:val="18"/>
        </w:rPr>
        <w:t>IgM by time and clinical form</w:t>
      </w:r>
    </w:p>
    <w:p>
      <w:pPr>
        <w:pStyle w:val="25"/>
        <w:rPr>
          <w:sz w:val="18"/>
          <w:szCs w:val="18"/>
        </w:rPr>
      </w:pPr>
      <w:r>
        <w:rPr>
          <w:sz w:val="18"/>
          <w:szCs w:val="18"/>
        </w:rPr>
        <w:drawing>
          <wp:inline distT="0" distB="0" distL="114300" distR="114300">
            <wp:extent cx="4579620" cy="2747645"/>
            <wp:effectExtent l="0" t="0" r="0" b="0"/>
            <wp:docPr id="1"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true" noChangeArrowheads="true"/>
                    </pic:cNvPicPr>
                  </pic:nvPicPr>
                  <pic:blipFill>
                    <a:blip r:embed="rId6"/>
                    <a:stretch>
                      <a:fillRect/>
                    </a:stretch>
                  </pic:blipFill>
                  <pic:spPr>
                    <a:xfrm>
                      <a:off x="0" y="0"/>
                      <a:ext cx="4579632" cy="2747779"/>
                    </a:xfrm>
                    <a:prstGeom prst="rect">
                      <a:avLst/>
                    </a:prstGeom>
                    <a:noFill/>
                    <a:ln w="9525">
                      <a:noFill/>
                    </a:ln>
                  </pic:spPr>
                </pic:pic>
              </a:graphicData>
            </a:graphic>
          </wp:inline>
        </w:drawing>
      </w:r>
    </w:p>
    <w:bookmarkEnd w:id="2"/>
    <w:p>
      <w:pPr>
        <w:pStyle w:val="4"/>
        <w:rPr>
          <w:sz w:val="18"/>
          <w:szCs w:val="18"/>
        </w:rPr>
      </w:pPr>
      <w:bookmarkStart w:id="3" w:name="igg-by-time-and-clinical-form"/>
      <w:r>
        <w:rPr>
          <w:sz w:val="18"/>
          <w:szCs w:val="18"/>
        </w:rPr>
        <w:t>IgG by time and clinical form</w:t>
      </w:r>
    </w:p>
    <w:p>
      <w:pPr>
        <w:pStyle w:val="25"/>
        <w:rPr>
          <w:sz w:val="18"/>
          <w:szCs w:val="18"/>
        </w:rPr>
      </w:pPr>
      <w:r>
        <w:rPr>
          <w:sz w:val="18"/>
          <w:szCs w:val="18"/>
        </w:rPr>
        <w:drawing>
          <wp:inline distT="0" distB="0" distL="114300" distR="114300">
            <wp:extent cx="4579620" cy="2747645"/>
            <wp:effectExtent l="0" t="0" r="0" b="0"/>
            <wp:docPr id="2"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true" noChangeArrowheads="true"/>
                    </pic:cNvPicPr>
                  </pic:nvPicPr>
                  <pic:blipFill>
                    <a:blip r:embed="rId7"/>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1: Averaged and plotted against time since confirmation date, both IgM and IgG values showed an upwoards linear trend, more pronounced in severe compared to milder forms, and in IgG compared to IgM. Log y axis; repeated measurements are joined by thin lines; linear regression line with SE; beta coefficient (log titre change per day).</w:t>
      </w:r>
    </w:p>
    <w:bookmarkEnd w:id="3"/>
    <w:p>
      <w:pPr>
        <w:pStyle w:val="4"/>
        <w:rPr>
          <w:sz w:val="18"/>
          <w:szCs w:val="18"/>
        </w:rPr>
      </w:pPr>
      <w:bookmarkStart w:id="4" w:name="X6353599d3d6f330c0d1ed7de3a970bc6c19096f"/>
      <w:r>
        <w:rPr>
          <w:sz w:val="18"/>
          <w:szCs w:val="18"/>
        </w:rPr>
        <w:t>IgM positivity rate by time and clinical form</w:t>
      </w:r>
    </w:p>
    <w:p>
      <w:pPr>
        <w:pStyle w:val="25"/>
        <w:rPr>
          <w:sz w:val="18"/>
          <w:szCs w:val="18"/>
        </w:rPr>
      </w:pPr>
      <w:r>
        <w:rPr>
          <w:sz w:val="18"/>
          <w:szCs w:val="18"/>
        </w:rPr>
        <w:t>Both antibodies showed an upwards trend in positivity rate across time. In both cases, patients with a more severe form had relatively higher rate of positivity after 2-4 weeks as well as after the first few days since confirmation. IgM seem better correlated to severity than IgG. A smaller proportion of patients had detectable levels of IgM compared to IgM in milder cases, while IgG became positive after 1 month in almost all patients, regardless of severity. Similarly, RT-PCR positivity rate decreased faster among patients with milder forms.</w:t>
      </w:r>
    </w:p>
    <w:p>
      <w:pPr>
        <w:pStyle w:val="3"/>
        <w:rPr>
          <w:sz w:val="18"/>
          <w:szCs w:val="18"/>
        </w:rPr>
      </w:pPr>
      <w:r>
        <w:rPr>
          <w:sz w:val="18"/>
          <w:szCs w:val="18"/>
        </w:rPr>
        <w:t>The highest number of test were performed during the the first 2 weeks since confirmation. Few patients had follow-up longer then what is shown in the charts. Their data was still included in the calculations, but their effect on the overall results are negligible.</w:t>
      </w:r>
    </w:p>
    <w:p>
      <w:pPr>
        <w:pStyle w:val="3"/>
        <w:rPr>
          <w:sz w:val="18"/>
          <w:szCs w:val="18"/>
        </w:rPr>
      </w:pPr>
      <w:r>
        <w:rPr>
          <w:sz w:val="18"/>
          <w:szCs w:val="18"/>
        </w:rPr>
        <w:drawing>
          <wp:inline distT="0" distB="0" distL="114300" distR="114300">
            <wp:extent cx="4579620" cy="2747645"/>
            <wp:effectExtent l="0" t="0" r="0" b="0"/>
            <wp:docPr id="3"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true" noChangeArrowheads="true"/>
                    </pic:cNvPicPr>
                  </pic:nvPicPr>
                  <pic:blipFill>
                    <a:blip r:embed="rId8"/>
                    <a:stretch>
                      <a:fillRect/>
                    </a:stretch>
                  </pic:blipFill>
                  <pic:spPr>
                    <a:xfrm>
                      <a:off x="0" y="0"/>
                      <a:ext cx="4579632" cy="2747779"/>
                    </a:xfrm>
                    <a:prstGeom prst="rect">
                      <a:avLst/>
                    </a:prstGeom>
                    <a:noFill/>
                    <a:ln w="9525">
                      <a:noFill/>
                    </a:ln>
                  </pic:spPr>
                </pic:pic>
              </a:graphicData>
            </a:graphic>
          </wp:inline>
        </w:drawing>
      </w:r>
    </w:p>
    <w:bookmarkEnd w:id="4"/>
    <w:p>
      <w:pPr>
        <w:pStyle w:val="4"/>
        <w:rPr>
          <w:sz w:val="18"/>
          <w:szCs w:val="18"/>
        </w:rPr>
      </w:pPr>
      <w:bookmarkStart w:id="5" w:name="Xdc4d7a0e92acc6d29b323f65e7a1a88454abf4f"/>
      <w:r>
        <w:rPr>
          <w:sz w:val="18"/>
          <w:szCs w:val="18"/>
        </w:rPr>
        <w:t>IgG positivity rate by time and clinical form</w:t>
      </w:r>
    </w:p>
    <w:p>
      <w:pPr>
        <w:pStyle w:val="25"/>
        <w:rPr>
          <w:sz w:val="18"/>
          <w:szCs w:val="18"/>
        </w:rPr>
      </w:pPr>
      <w:r>
        <w:rPr>
          <w:sz w:val="18"/>
          <w:szCs w:val="18"/>
        </w:rPr>
        <w:drawing>
          <wp:inline distT="0" distB="0" distL="114300" distR="114300">
            <wp:extent cx="4579620" cy="2747645"/>
            <wp:effectExtent l="0" t="0" r="0" b="0"/>
            <wp:docPr id="4"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true" noChangeArrowheads="true"/>
                    </pic:cNvPicPr>
                  </pic:nvPicPr>
                  <pic:blipFill>
                    <a:blip r:embed="rId9"/>
                    <a:stretch>
                      <a:fillRect/>
                    </a:stretch>
                  </pic:blipFill>
                  <pic:spPr>
                    <a:xfrm>
                      <a:off x="0" y="0"/>
                      <a:ext cx="4579632" cy="2747779"/>
                    </a:xfrm>
                    <a:prstGeom prst="rect">
                      <a:avLst/>
                    </a:prstGeom>
                    <a:noFill/>
                    <a:ln w="9525">
                      <a:noFill/>
                    </a:ln>
                  </pic:spPr>
                </pic:pic>
              </a:graphicData>
            </a:graphic>
          </wp:inline>
        </w:drawing>
      </w:r>
    </w:p>
    <w:bookmarkEnd w:id="5"/>
    <w:p>
      <w:pPr>
        <w:pStyle w:val="4"/>
        <w:rPr>
          <w:sz w:val="18"/>
          <w:szCs w:val="18"/>
        </w:rPr>
      </w:pPr>
      <w:bookmarkStart w:id="6" w:name="Xfd8cd63671cdbaff0a739851b3228c032298ba5"/>
      <w:r>
        <w:rPr>
          <w:sz w:val="18"/>
          <w:szCs w:val="18"/>
        </w:rPr>
        <w:t>PCR positivity rate by time and clinical form</w:t>
      </w:r>
    </w:p>
    <w:p>
      <w:pPr>
        <w:pStyle w:val="25"/>
        <w:rPr>
          <w:sz w:val="18"/>
          <w:szCs w:val="18"/>
        </w:rPr>
      </w:pPr>
      <w:r>
        <w:rPr>
          <w:sz w:val="18"/>
          <w:szCs w:val="18"/>
        </w:rPr>
        <w:drawing>
          <wp:inline distT="0" distB="0" distL="114300" distR="114300">
            <wp:extent cx="4603750" cy="2762250"/>
            <wp:effectExtent l="0" t="0" r="0" b="0"/>
            <wp:docPr id="5"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true" noChangeArrowheads="true"/>
                    </pic:cNvPicPr>
                  </pic:nvPicPr>
                  <pic:blipFill>
                    <a:blip r:embed="rId10"/>
                    <a:stretch>
                      <a:fillRect/>
                    </a:stretch>
                  </pic:blipFill>
                  <pic:spPr>
                    <a:xfrm>
                      <a:off x="0" y="0"/>
                      <a:ext cx="4603972" cy="2762383"/>
                    </a:xfrm>
                    <a:prstGeom prst="rect">
                      <a:avLst/>
                    </a:prstGeom>
                    <a:noFill/>
                    <a:ln w="9525">
                      <a:noFill/>
                    </a:ln>
                  </pic:spPr>
                </pic:pic>
              </a:graphicData>
            </a:graphic>
          </wp:inline>
        </w:drawing>
      </w:r>
    </w:p>
    <w:p>
      <w:pPr>
        <w:pStyle w:val="3"/>
        <w:rPr>
          <w:sz w:val="18"/>
          <w:szCs w:val="18"/>
        </w:rPr>
      </w:pPr>
      <w:r>
        <w:rPr>
          <w:sz w:val="18"/>
          <w:szCs w:val="18"/>
        </w:rPr>
        <w:t>Figure 2: The proportion of patients found with detectable IgM (&gt;0.8), IgG (&gt;0.8) and RT-PCR results (uncertain results removed), by time since confirmation (first month) and clinical severity (mild: asymptomatic to mild; severe: intermediate to critical). Also shown: weighted probit regression line, risk-ratio change per day, number of tests performed (dot area and bottom histogram with right y-axis) and binomial 95% confidence interval around average proportion. ## Summary table by clinical form</w:t>
      </w:r>
    </w:p>
    <w:p>
      <w:pPr>
        <w:pStyle w:val="4"/>
        <w:bidi w:val="0"/>
        <w:rPr>
          <w:rFonts w:hint="default"/>
          <w:lang w:val="en"/>
        </w:rPr>
      </w:pPr>
      <w:r>
        <w:rPr>
          <w:rFonts w:hint="default"/>
          <w:lang w:val="en"/>
        </w:rPr>
        <w:t>Severe vs mild</w:t>
      </w:r>
    </w:p>
    <w:p>
      <w:pPr>
        <w:pStyle w:val="3"/>
        <w:rPr>
          <w:sz w:val="18"/>
          <w:szCs w:val="18"/>
        </w:rPr>
      </w:pPr>
      <w:r>
        <w:rPr>
          <w:sz w:val="18"/>
          <w:szCs w:val="18"/>
        </w:rPr>
        <w:t>Table 1: Sample description by clinical severity (mild: asymptomatic to mild; severe: intermediate to critical).</w:t>
      </w:r>
    </w:p>
    <w:tbl>
      <w:tblPr>
        <w:tblStyle w:val="13"/>
        <w:tblW w:w="5000" w:type="pct"/>
        <w:jc w:val="center"/>
        <w:tblLayout w:type="autofit"/>
        <w:tblCellMar>
          <w:top w:w="0" w:type="dxa"/>
          <w:left w:w="108" w:type="dxa"/>
          <w:bottom w:w="0" w:type="dxa"/>
          <w:right w:w="108" w:type="dxa"/>
        </w:tblCellMar>
      </w:tblPr>
      <w:tblGrid>
        <w:gridCol w:w="2084"/>
        <w:gridCol w:w="2519"/>
        <w:gridCol w:w="1369"/>
        <w:gridCol w:w="1253"/>
        <w:gridCol w:w="1311"/>
        <w:gridCol w:w="2264"/>
      </w:tblGrid>
      <w:tr>
        <w:tblPrEx>
          <w:tblCellMar>
            <w:top w:w="0" w:type="dxa"/>
            <w:left w:w="108" w:type="dxa"/>
            <w:bottom w:w="0" w:type="dxa"/>
            <w:right w:w="108" w:type="dxa"/>
          </w:tblCellMar>
        </w:tblPrEx>
        <w:trPr>
          <w:cantSplit/>
          <w:trHeight w:val="0" w:hRule="atLeast"/>
          <w:tblHeader/>
          <w:jc w:val="center"/>
        </w:trPr>
        <w:tc>
          <w:tcPr>
            <w:tcW w:w="965"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Variable</w:t>
            </w:r>
          </w:p>
        </w:tc>
        <w:tc>
          <w:tcPr>
            <w:tcW w:w="1166"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Details</w:t>
            </w:r>
          </w:p>
        </w:tc>
        <w:tc>
          <w:tcPr>
            <w:tcW w:w="634"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severe</w:t>
            </w:r>
          </w:p>
        </w:tc>
        <w:tc>
          <w:tcPr>
            <w:tcW w:w="580"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mild</w:t>
            </w:r>
          </w:p>
        </w:tc>
        <w:tc>
          <w:tcPr>
            <w:tcW w:w="607"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Total</w:t>
            </w:r>
          </w:p>
        </w:tc>
        <w:tc>
          <w:tcPr>
            <w:tcW w:w="1045"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Statistics</w:t>
            </w:r>
          </w:p>
        </w:tc>
      </w:tr>
      <w:tr>
        <w:tblPrEx>
          <w:tblCellMar>
            <w:top w:w="0" w:type="dxa"/>
            <w:left w:w="108" w:type="dxa"/>
            <w:bottom w:w="0" w:type="dxa"/>
            <w:right w:w="108" w:type="dxa"/>
          </w:tblCellMar>
        </w:tblPrEx>
        <w:trPr>
          <w:cantSplit/>
          <w:trHeight w:val="0" w:hRule="atLeast"/>
          <w:jc w:val="center"/>
        </w:trPr>
        <w:tc>
          <w:tcPr>
            <w:tcW w:w="965"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Clinical form</w:t>
            </w:r>
          </w:p>
        </w:tc>
        <w:tc>
          <w:tcPr>
            <w:tcW w:w="1166"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634"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208 (44.3%)</w:t>
            </w:r>
          </w:p>
        </w:tc>
        <w:tc>
          <w:tcPr>
            <w:tcW w:w="580"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261 (55.7%)</w:t>
            </w:r>
          </w:p>
        </w:tc>
        <w:tc>
          <w:tcPr>
            <w:tcW w:w="607"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469</w:t>
            </w:r>
          </w:p>
        </w:tc>
        <w:tc>
          <w:tcPr>
            <w:tcW w:w="1045"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single"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Age (years)</w:t>
            </w:r>
          </w:p>
        </w:tc>
        <w:tc>
          <w:tcPr>
            <w:tcW w:w="1166"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54.46 ±17.8</w:t>
            </w:r>
          </w:p>
        </w:tc>
        <w:tc>
          <w:tcPr>
            <w:tcW w:w="580"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32.02 ±18.9</w:t>
            </w:r>
          </w:p>
        </w:tc>
        <w:tc>
          <w:tcPr>
            <w:tcW w:w="607"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42.03 ±21.5</w:t>
            </w:r>
          </w:p>
        </w:tc>
        <w:tc>
          <w:tcPr>
            <w:tcW w:w="1045" w:type="pct"/>
            <w:vMerge w:val="restart"/>
            <w:tcBorders>
              <w:top w:val="single"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54.5 (1:94)</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32 (0:81)</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43 (0:94)</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54.5 (43-67)</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32 (16-46)</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43 (28-57)</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Sex</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116 (55.8%)</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(42.1%)</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226 (48.2%)</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OR=1.73 [1.20, 2.50] (p=0.004)</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F</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92 (44.2%)</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151 (57.9%)</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243 (51.8%)</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HCW</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16 (8.2%)</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25 (10.6%)</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41 (9.5%)</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OR=0.75 [0.39, 1.45] (p=0.415)</w:t>
            </w: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Outcome</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deceased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(4.9%)</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(2.2%)</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OR=27.98 [1.63, 480.42] (p&lt;0.001)</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alive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195 (95.1%)</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260 (100%)</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455 (97.8%)</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ICU</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27 (13.1%)</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 (0.4%)</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28 (6.0%)</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OR=39.22 [5.28, 291.23] (p&lt;0.001)</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Transfer to COVID unit</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38 (18.4%)</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 (6.2%)</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54 (11.6%)</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OR=3.43 [1.85, 6.35] (p&lt;0.001)</w:t>
            </w: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Hospitalization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17.38 ±12.3</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12.44 ±7.67</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14.66 ±10.3</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 (1:101)</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(1:44)</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(1:101)</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 (11-20.25)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(8-15)</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(9-17)</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Admission to confirmation</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-1.12 ±2.72</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-1.10 ±1.71</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-1.11 ±2.21</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p=0.149</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(-20:5)</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(-11:1)</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(-20:5)</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(-1-0)</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(-1-0)</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(-1-0)</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CT scan</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crazy paving and/or ground-glass opacities</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128 (62.4%)</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 (2.3%)</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134 (28.8%)</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OR=70.65 [29.97, 166.53] (p&lt;0.001)</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no significant changes</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77 (37.6%)</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255 (97.7%)</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332 (71.2%)</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CT - Lung damage</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high area damage</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68 (36.2%)</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68 (15.2%)</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OR=293.90 [18.05, 4 786.34] (p&lt;0.001)</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minimal or no lung damage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120 (63.8%)</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258 (100%)</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378 (84.8%)</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Test 1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7.39 ±4.37</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6.01 ±4.21</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6.61 ±4.34</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(0:21)</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(0:16)</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(0:21)</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(5-10)</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(2-9)</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(3-9)</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1</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160 (84.7%)</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200 (84.0%)</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360 (84.3%)</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OR=1.05 [0.62, 1.77] (p=0.894)</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29 (15.3%)</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38 (16.0%)</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67 (15.7%)</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1</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3.37 ±6.6</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0.919 ±1.29</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±4.6</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1.25 (0.22:52.57)</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0.47 (0.17:9.29)</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0.68 (0.17:52.57)</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1.25 (0.55-2.95)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0.47 (0.33-0.97)</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0.68 (0.37-1.61)</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1</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4.80 ±9.73</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2.28 ±14.5</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3.37 ±12.7</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1.14 (0.53:71.5)</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 (0.49:178.19)</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 (0.49:178.19)</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1.14 (0.76-3.25)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 (0.61-0.86)</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 (0.64-1.41)</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Test 2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11.77 ±4.59</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10.46 ±3.74</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11.14 ±4.3</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p=0.008</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(1:30)</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(1:21)</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(1:30)</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(9-14)</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(8-13)</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(8-13.25)</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2</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101 (72.7%)</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84 (65.6%)</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185 (69.3%)</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OR=1.39 [0.83, 2.35] (p=0.234)</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38 (27.3%)</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44 (34.4%)</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82 (30.7%)</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2</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7.91 ±16.8</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1.41 ±2.77</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4.65 ±12.4</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2.22 (0.3:123.08)</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0.71 (0.22:21.63)</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1.09 (0.22:123.08)</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2.22 (0.84-7.06)</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0.71 (0.42-1.21)</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1.09 (0.53-3.21)</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2</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7.91 ±13.3</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1.19 ±1.16</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4.54 ±9.92</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1.58 (0.55:69.39)</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0.81 (0.52:7.68)</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0.98 (0.52:69.39)</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1.58 (0.79-10.29)</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0.81 (0.63-1.08)</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0.98 (0.69-2.92)</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3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16.03 ±6.12</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14.54 ±4.52</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15.25 ±5.43</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p=0.127</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 (3:37)</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(5:26)</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(3:37)</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 (12.25-18.75)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(11-18)</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(12-18)</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3</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56 (61.5%)</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42 (48.8%)</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98 (55.4%)</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OR=1.68 [0.92, 3.05] (p=0.098)</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 (38.5%)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44 (51.2%)</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79 (44.6%)</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3</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15.41 ±26.6</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1.59 ±1.79</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9.17 ±20.8</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5.53 (0.24:124.84)</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0.99 (0.31:8.08)</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(0.24:124.84)</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5.53 (2.45-14.82)</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0.99 (0.64-1.8)</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(0.9-6.5)</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3</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18.15 ±29.6</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1.85 ±2.17</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10.78 ±23.3</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6.09 (0.64:130.36)</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0.82 (0.58:8.34)</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1.45 (0.58:130.36)</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6.09 (1.26-19.28)</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0.82 (0.66-1.63)</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1.45 (0.82-7.29)</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4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20.08 ±7.54</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18.35 ±5.35</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19.18 ±6.56</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p=0.436</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 (7:44)</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(6:32)</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(6:44)</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 (14-23)</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(15-22)</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(14.5-22)</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RT - PCR 4</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detectable</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42 (65.6%)</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 (46.0%)</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71 (55.9%)</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OR=2.24 [1.09, 4.58] (p=0.032)</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negative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 (34.4%)</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34 (54.0%)</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56 (44.1%)</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4</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14.25 ±24.9</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1.12 ±0.796</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8.95 ±20.0</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5.97 (0.92:100.86)</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 (0.49:3)</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2.8 (0.49:100.86)</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5.97 (2.89-10.82)</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 (0.57-1.26)</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2.8 (1.01-6.42)</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4</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35.47 ±38.3</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2.54 ±2.74</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22.04 ±33.4</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21.46 (0.66:133.35)</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1.76 (0.65:10.09)</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6.94 (0.65:133.35)</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21.46 (8.08-42.7)</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1.76 (0.87-2.67)</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6.94 (1.37-25.16)</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5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23.44 ±9.39</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22.18 ±4.57</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22.85 ±7.51</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p=0.958</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(9:57)</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(13:31)</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(9:57)</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(18-26.5)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(19-26)</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(18-26)</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5</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20 (48.8%)</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 (40.5%)</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 (44.9%)</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OR=1.40 [0.57, 3.43] (p=0.501)</w:t>
            </w: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21 (51.2%)</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(59.5%)</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43 (55.1%)</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IgM 5</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4.39 ±5.29</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0.90 ±0.263</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2.79 ±4.22</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p=0.106</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3.58 (0.44:19.58)</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0.86 (0.55:1.31)</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0.98 (0.44:19.58)</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3.58 (0.92-5.24)</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0.86 (0.66-1.08)</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0.98 (0.81-3.64)</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IgG 5</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12.81 ±15.9</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1.54 ±1.55</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7.65 ±12.9</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p=0.082</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3.8 (0.66:40.52)</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0.94 (0.6:5.99)</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1.52 (0.6:40.52)</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3.8 (0.84-24.69)</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0.94 (0.82-1.6)</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1.52 (0.83-5.38)</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at discharge</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5.71 ±7.91</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0.993 ±0.396</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3.91 ±6.6</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p=0.009</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1.97 (0.44:29.42)</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0.94 (0.48:2.06)</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(0.44:29.42)</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1.97 (0.86-7.63)</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0.94 (0.71-1.09)</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(0.77-3.03)</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at discharge</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20.12 ±31.0</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1.49 ±1.32</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13.08 ±26.0</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6.63 (0.64:133.35)</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0.88 (0.6:5.99)</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2.12 (0.6:133.35)</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6.63 (1-24.99)</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0.88 (0.78-2.08)</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2.12 (0.8-10.49)</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&gt;2.6</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90 (43.3%)</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18 (6.9%)</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(23.0%)</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OR=10.30 [5.93, 17.88] (p&lt;0.001)</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&gt;2.9</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88 (42.3%)</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 (8.4%)</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(23.5%)</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OR=7.97 [4.75, 13.35] (p&lt;0.001)</w:t>
            </w:r>
          </w:p>
        </w:tc>
      </w:tr>
      <w:tr>
        <w:tblPrEx>
          <w:tblCellMar>
            <w:top w:w="0" w:type="dxa"/>
            <w:left w:w="108" w:type="dxa"/>
            <w:bottom w:w="0" w:type="dxa"/>
            <w:right w:w="108" w:type="dxa"/>
          </w:tblCellMar>
        </w:tblPrEx>
        <w:trPr>
          <w:cantSplit/>
          <w:trHeight w:val="0" w:hRule="atLeast"/>
          <w:jc w:val="center"/>
        </w:trPr>
        <w:tc>
          <w:tcPr>
            <w:tcW w:w="96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Hydroxychloroquine (days)</w:t>
            </w:r>
          </w:p>
        </w:tc>
        <w:tc>
          <w:tcPr>
            <w:tcW w:w="1166"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10.35 ±4.47</w:t>
            </w:r>
          </w:p>
        </w:tc>
        <w:tc>
          <w:tcPr>
            <w:tcW w:w="580"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3.28 ±3.84</w:t>
            </w:r>
          </w:p>
        </w:tc>
        <w:tc>
          <w:tcPr>
            <w:tcW w:w="607"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6.43 ±5.42</w:t>
            </w:r>
          </w:p>
        </w:tc>
        <w:tc>
          <w:tcPr>
            <w:tcW w:w="104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6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4"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(0:23)</w:t>
            </w:r>
          </w:p>
        </w:tc>
        <w:tc>
          <w:tcPr>
            <w:tcW w:w="580"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 (0:12)</w:t>
            </w:r>
          </w:p>
        </w:tc>
        <w:tc>
          <w:tcPr>
            <w:tcW w:w="607" w:type="pct"/>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(0:23)</w:t>
            </w:r>
          </w:p>
        </w:tc>
        <w:tc>
          <w:tcPr>
            <w:tcW w:w="1045" w:type="pct"/>
            <w:vMerge w:val="continue"/>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6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66"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(IQR)</w:t>
            </w:r>
          </w:p>
        </w:tc>
        <w:tc>
          <w:tcPr>
            <w:tcW w:w="63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(8-12.75)</w:t>
            </w:r>
          </w:p>
        </w:tc>
        <w:tc>
          <w:tcPr>
            <w:tcW w:w="580"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 (0-7)</w:t>
            </w:r>
          </w:p>
        </w:tc>
        <w:tc>
          <w:tcPr>
            <w:tcW w:w="607"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(0-10)</w:t>
            </w:r>
          </w:p>
        </w:tc>
        <w:tc>
          <w:tcPr>
            <w:tcW w:w="104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Anticoagulant</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160 (77.3%)</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56 (21.6%)</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216 (46.4%)</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OR=12.34 [7.95, 19.15] (p&lt;0.001)</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Corticoid</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65 (31.6%)</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 (3.1%)</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73 (15.7%)</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OR=14.52 [6.77, 31.14] (p&lt;0.001)</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Kaletra</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100 (48.3%)</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122 (46.9%)</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222 (47.5%)</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OR=1.06 [0.73, 1.52] (p=0.780)</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Daruna</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40 (19.4%)</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 (1.9%)</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 (9.7%)</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OR=12.29 [4.75, 31.78] (p&lt;0.001)</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Remdesivir</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 (4.7%)</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 (1.9%)</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OR=7.65 [0.36, 163.41] (p=0.162)</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Favipiravir</w:t>
            </w:r>
          </w:p>
        </w:tc>
        <w:tc>
          <w:tcPr>
            <w:tcW w:w="63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 (20.0%)</w:t>
            </w:r>
          </w:p>
        </w:tc>
        <w:tc>
          <w:tcPr>
            <w:tcW w:w="58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 (13.0%)</w:t>
            </w:r>
          </w:p>
        </w:tc>
        <w:tc>
          <w:tcPr>
            <w:tcW w:w="607"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 (15.8%)</w:t>
            </w:r>
          </w:p>
        </w:tc>
        <w:tc>
          <w:tcPr>
            <w:tcW w:w="1045"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OR=1.67 [0.29, 9.62] (p=0.663)</w:t>
            </w:r>
          </w:p>
        </w:tc>
      </w:tr>
      <w:tr>
        <w:tblPrEx>
          <w:tblCellMar>
            <w:top w:w="0" w:type="dxa"/>
            <w:left w:w="108" w:type="dxa"/>
            <w:bottom w:w="0" w:type="dxa"/>
            <w:right w:w="108" w:type="dxa"/>
          </w:tblCellMar>
        </w:tblPrEx>
        <w:trPr>
          <w:cantSplit/>
          <w:trHeight w:val="0" w:hRule="atLeast"/>
          <w:jc w:val="center"/>
        </w:trPr>
        <w:tc>
          <w:tcPr>
            <w:tcW w:w="2131" w:type="pct"/>
            <w:gridSpan w:val="2"/>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Tocilizumab</w:t>
            </w:r>
          </w:p>
        </w:tc>
        <w:tc>
          <w:tcPr>
            <w:tcW w:w="634" w:type="pc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 (1.9%)</w:t>
            </w:r>
          </w:p>
        </w:tc>
        <w:tc>
          <w:tcPr>
            <w:tcW w:w="580" w:type="pc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w:t>
            </w:r>
          </w:p>
        </w:tc>
        <w:tc>
          <w:tcPr>
            <w:tcW w:w="607" w:type="pc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 (0.9%)</w:t>
            </w:r>
          </w:p>
        </w:tc>
        <w:tc>
          <w:tcPr>
            <w:tcW w:w="1045" w:type="pc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OR=11.62 [0.62, 217.11] (p=0.037)</w:t>
            </w:r>
          </w:p>
        </w:tc>
      </w:tr>
      <w:tr>
        <w:tblPrEx>
          <w:tblCellMar>
            <w:top w:w="0" w:type="dxa"/>
            <w:left w:w="108" w:type="dxa"/>
            <w:bottom w:w="0" w:type="dxa"/>
            <w:right w:w="108" w:type="dxa"/>
          </w:tblCellMar>
        </w:tblPrEx>
        <w:trPr>
          <w:cantSplit/>
          <w:trHeight w:val="0" w:hRule="atLeast"/>
          <w:jc w:val="center"/>
        </w:trPr>
        <w:tc>
          <w:tcPr>
            <w:tcW w:w="5000" w:type="pct"/>
            <w:gridSpan w:val="6"/>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i/>
                <w:color w:val="000000"/>
                <w:sz w:val="18"/>
                <w:szCs w:val="18"/>
              </w:rPr>
              <w:t xml:space="preserve">μ ±SD = Mean (standard deviation); Welch = Welch T-Test (not assuming equal variances); OR = odds-ratio [95% CI] and p value from Fisher test); </w:t>
            </w:r>
          </w:p>
        </w:tc>
      </w:tr>
      <w:bookmarkEnd w:id="6"/>
    </w:tbl>
    <w:p>
      <w:pPr>
        <w:pStyle w:val="4"/>
        <w:rPr>
          <w:sz w:val="18"/>
          <w:szCs w:val="18"/>
        </w:rPr>
      </w:pPr>
      <w:bookmarkStart w:id="7" w:name="summary-table-by-igm-reactivity"/>
      <w:r>
        <w:rPr>
          <w:sz w:val="18"/>
          <w:szCs w:val="18"/>
        </w:rPr>
        <w:t>Summary table by IgM reactivity</w:t>
      </w:r>
    </w:p>
    <w:p>
      <w:pPr>
        <w:pStyle w:val="25"/>
        <w:rPr>
          <w:sz w:val="18"/>
          <w:szCs w:val="18"/>
        </w:rPr>
      </w:pPr>
      <w:r>
        <w:rPr>
          <w:sz w:val="18"/>
          <w:szCs w:val="18"/>
        </w:rPr>
        <w:t>Table 2: Sample description by IgM reactivity, defined as high if at least 1 measurement was above the 75% quartile af all IgM measurements in the database (2.607 for IgM).</w:t>
      </w:r>
    </w:p>
    <w:tbl>
      <w:tblPr>
        <w:tblStyle w:val="13"/>
        <w:tblW w:w="5000" w:type="pct"/>
        <w:jc w:val="center"/>
        <w:tblLayout w:type="autofit"/>
        <w:tblCellMar>
          <w:top w:w="0" w:type="dxa"/>
          <w:left w:w="108" w:type="dxa"/>
          <w:bottom w:w="0" w:type="dxa"/>
          <w:right w:w="108" w:type="dxa"/>
        </w:tblCellMar>
      </w:tblPr>
      <w:tblGrid>
        <w:gridCol w:w="2106"/>
        <w:gridCol w:w="2624"/>
        <w:gridCol w:w="1389"/>
        <w:gridCol w:w="1227"/>
        <w:gridCol w:w="1326"/>
        <w:gridCol w:w="2128"/>
      </w:tblGrid>
      <w:tr>
        <w:tblPrEx>
          <w:tblCellMar>
            <w:top w:w="0" w:type="dxa"/>
            <w:left w:w="108" w:type="dxa"/>
            <w:bottom w:w="0" w:type="dxa"/>
            <w:right w:w="108" w:type="dxa"/>
          </w:tblCellMar>
        </w:tblPrEx>
        <w:trPr>
          <w:cantSplit/>
          <w:trHeight w:val="0" w:hRule="atLeast"/>
          <w:tblHeader/>
          <w:jc w:val="center"/>
        </w:trPr>
        <w:tc>
          <w:tcPr>
            <w:tcW w:w="975"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Variable</w:t>
            </w:r>
          </w:p>
        </w:tc>
        <w:tc>
          <w:tcPr>
            <w:tcW w:w="1215"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Details</w:t>
            </w:r>
          </w:p>
        </w:tc>
        <w:tc>
          <w:tcPr>
            <w:tcW w:w="643"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yes</w:t>
            </w:r>
          </w:p>
        </w:tc>
        <w:tc>
          <w:tcPr>
            <w:tcW w:w="568"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no</w:t>
            </w:r>
          </w:p>
        </w:tc>
        <w:tc>
          <w:tcPr>
            <w:tcW w:w="614"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Total</w:t>
            </w:r>
          </w:p>
        </w:tc>
        <w:tc>
          <w:tcPr>
            <w:tcW w:w="983"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Statistics</w:t>
            </w:r>
          </w:p>
        </w:tc>
      </w:tr>
      <w:tr>
        <w:tblPrEx>
          <w:tblCellMar>
            <w:top w:w="0" w:type="dxa"/>
            <w:left w:w="108" w:type="dxa"/>
            <w:bottom w:w="0" w:type="dxa"/>
            <w:right w:w="108" w:type="dxa"/>
          </w:tblCellMar>
        </w:tblPrEx>
        <w:trPr>
          <w:cantSplit/>
          <w:trHeight w:val="0" w:hRule="atLeast"/>
          <w:jc w:val="center"/>
        </w:trPr>
        <w:tc>
          <w:tcPr>
            <w:tcW w:w="975"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&gt;2.6</w:t>
            </w:r>
          </w:p>
        </w:tc>
        <w:tc>
          <w:tcPr>
            <w:tcW w:w="1215"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643"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(23.4%)</w:t>
            </w:r>
          </w:p>
        </w:tc>
        <w:tc>
          <w:tcPr>
            <w:tcW w:w="568"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361 (76.6%)</w:t>
            </w:r>
          </w:p>
        </w:tc>
        <w:tc>
          <w:tcPr>
            <w:tcW w:w="614"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471</w:t>
            </w:r>
          </w:p>
        </w:tc>
        <w:tc>
          <w:tcPr>
            <w:tcW w:w="983"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single"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Age (years)</w:t>
            </w:r>
          </w:p>
        </w:tc>
        <w:tc>
          <w:tcPr>
            <w:tcW w:w="1215"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53.08 ±17.6</w:t>
            </w:r>
          </w:p>
        </w:tc>
        <w:tc>
          <w:tcPr>
            <w:tcW w:w="568"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38.66 ±21.5</w:t>
            </w:r>
          </w:p>
        </w:tc>
        <w:tc>
          <w:tcPr>
            <w:tcW w:w="614"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42.03 ±21.5</w:t>
            </w:r>
          </w:p>
        </w:tc>
        <w:tc>
          <w:tcPr>
            <w:tcW w:w="983" w:type="pct"/>
            <w:vMerge w:val="restart"/>
            <w:tcBorders>
              <w:top w:val="single"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52.5 (5:93)</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39 (0:94)</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43 (0:94)</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Sex</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62 (56.4%)</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166 (46.0%)</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228 (48.4%)</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OR=1.52 [0.99, 2.33] (p=0.064)</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F</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48 (43.6%)</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195 (54.0%)</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243 (51.6%)</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HCW</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 (5.8%)</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 (10.7%)</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41 (9.5%)</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OR=0.52 [0.21, 1.27] (p=0.179)</w:t>
            </w: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Clinical form</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severe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90 (83.3%)</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118 (32.7%)</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208 (44.3%)</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OR=10.30 [5.93, 17.88]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mild</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18 (16.7%)</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243 (67.3%)</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261 (55.7%)</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Outcome</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deceased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 (5.5%)</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 (1.1%)</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(2.1%)</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OR=5.09 [1.41, 18.38] (p=0.014)</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alive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104 (94.5%)</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353 (98.9%)</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457 (97.9%)</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ICU</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 (15.6%)</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(3.3%)</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 (6.2%)</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OR=5.36 [2.47, 11.62] (p&lt;0.001)</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Transfer to COVID unit</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 (17.3%)</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35 (9.7%)</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54 (11.5%)</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OR=1.93 [1.06, 3.54] (p=0.040)</w:t>
            </w: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Hospitalization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19.63 ±13.1</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13.15 ±8.75</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14.66 ±10.3</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 (1:101)</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(1:84)</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(1:101)</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Admission to confirmation</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-1.18 ±2.97</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-1.09 ±1.93</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-1.11 ±2.21</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p=0.179</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(-20:1)</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(-14:5)</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(-20:5)</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CT scan</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crazy paving and/or ground-glass opacities</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78 (71.6%)</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58 (16.2%)</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136 (29.1%)</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OR=13.06 [7.90, 21.58]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no significant changes</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31 (28.4%)</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301 (83.8%)</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332 (70.9%)</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CT - Lung damage</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high area damage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51 (50.0%)</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 (5.5%)</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70 (15.6%)</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OR=17.21 [9.41, 31.48]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minimal or no lung damage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51 (50.0%)</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327 (94.5%)</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378 (84.4%)</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1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7.25 ±4.8</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6.42 ±4.17</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6.61 ±4.34</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p=0.092</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8 (0:21)</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 (0:19)</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 (0:21)</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1</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88 (86.3%)</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274 (83.8%)</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362 (84.4%)</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OR=1.22 [0.64, 2.30] (p=0.640)</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(13.7%)</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53 (16.2%)</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67 (15.6%)</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1</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7.46 ±8.95</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0.787 ±0.602</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±4.6</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 (0.37:52.57)</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0.54 (0.17:2.59)</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0.68 (0.17:52.57)</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1</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12.21 ±27.5</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1.42 ±3.27</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3.37 ±12.7</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3.44 (0.62:178.19)</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0.72 (0.49:35.57)</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 (0.49:178.19)</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Test 2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12.02 ±4.94</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10.75 ±3.94</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11.14 ±4.3</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p=0.031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(1:30)</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(1:23)</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(1:30)</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2</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64 (72.7%)</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121 (67.6%)</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185 (69.3%)</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OR=1.28 [0.73, 2.25] (p=0.481)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24 (27.3%)</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58 (32.4%)</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82 (30.7%)</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2</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13.58 ±20.2</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0.894 ±0.57</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4.65 ±12.4</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7.06 (0.47:123.08)</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0.71 (0.22:2.53)</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1.09 (0.22:123.08)</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2</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11.80 ±15.8</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1.51 ±2.25</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4.54 ±9.92</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6.57 (0.57:69.39)</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 (0.52:15.66)</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0.98 (0.52:69.39)</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3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15.73 ±6.32</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14.96 ±4.82</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15.25 ±5.43</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p=0.457</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15 (3:37)</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(5:33)</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(3:37)</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3</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37 (54.4%)</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62 (56.4%)</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99 (55.6%)</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OR=0.92 [0.50, 1.70] (p=0.877)</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31 (45.6%)</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48 (43.6%)</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79 (44.4%)</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3</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18.42 ±27.9</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±0.643</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9.17 ±20.8</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7.52 (1.35:124.84)</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0.91 (0.24:2.56)</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(0.24:124.84)</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3</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21.14 ±31.2</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1.74 ±2.06</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10.78 ±23.3</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6.9 (0.72:130.36)</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0.84 (0.58:8.34)</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1.45 (0.58:130.36)</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4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19.63 ±7.86</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18.89 ±5.61</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19.18 ±6.56</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p=0.942</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(6:44)</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(6:37)</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(6:44)</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4</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30 (60.0%)</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41 (52.6%)</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71 (55.5%)</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OR=1.35 [0.66, 2.78] (p=0.468)</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20 (40.0%)</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37 (47.4%)</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57 (44.5%)</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4</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15.96 ±25.8</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1.05 ±0.542</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8.95 ±20.0</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6.32 (0.92:100.86)</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1.01 (0.49:2.59)</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2.8 (0.49:100.86)</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4</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38.06 ±39.5</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4.01 ±5.71</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22.04 ±33.4</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23.96 (1.24:133.35)</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1.41 (0.65:21.36)</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6.94 (0.65:133.35)</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5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23.61 ±10.1</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22.45 ±5.81</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22.85 ±7.51</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p=0.838</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(9:57)</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(9:44)</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(9:57)</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5</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 (40.7%)</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24 (47.1%)</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 (44.9%)</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OR=0.77 [0.30, 1.99] (p=0.639)</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16 (59.3%)</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27 (52.9%)</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43 (55.1%)</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5</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7.49 ±5.62</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0.855 ±0.253</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2.79 ±4.22</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5.24 (3.58:19.58)</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0.86 (0.44:1.31)</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0.98 (0.44:19.58)</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5</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19.16 ±18.1</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2.90 ±5.79</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7.65 ±12.9</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p=0.011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(0.7:40.52)</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0.94 (0.6:24.69)</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1.52 (0.6:40.52)</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at discharge</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10.15 ±9.01</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0.978 ±0.414</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3.91 ±6.6</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7.63 (1.39:29.42)</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0.87 (0.44:2.06)</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(0.44:29.42)</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at discharge</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34.72 ±38.2</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3.30 ±6.31</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13.08 ±26.0</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20.8 (3.05:133.35)</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0.89 (0.6:27.23)</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2.12 (0.6:133.35)</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&gt;2.9</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76 (69.1%)</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36 (10.0%)</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112 (23.8%)</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OR=20.18 [11.86, 34.32] (p&lt;0.001)</w:t>
            </w: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Hydroxychloroquine (days)</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10.95 ±5.34</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5.05 ±4.64</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6.43 ±5.42</w:t>
            </w:r>
          </w:p>
        </w:tc>
        <w:tc>
          <w:tcPr>
            <w:tcW w:w="983"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43"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(0:22)</w:t>
            </w:r>
          </w:p>
        </w:tc>
        <w:tc>
          <w:tcPr>
            <w:tcW w:w="568"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 (0:23)</w:t>
            </w:r>
          </w:p>
        </w:tc>
        <w:tc>
          <w:tcPr>
            <w:tcW w:w="614"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(0:23)</w:t>
            </w:r>
          </w:p>
        </w:tc>
        <w:tc>
          <w:tcPr>
            <w:tcW w:w="983"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Anticoagulant</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89 (80.9%)</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129 (36.0%)</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218 (46.6%)</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OR=7.52 [4.46, 12.68] (p&lt;0.001)</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Corticoid</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 (42.2%)</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 (8.1%)</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75 (16.0%)</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OR=8.31 [4.86, 14.22] (p&lt;0.001)</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Kaletra</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46 (42.2%)</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177 (49.2%)</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223 (47.5%)</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OR=0.75 [0.49, 1.16] (p=0.229)</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Daruna</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 (26.6%)</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 (4.5%)</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 (9.6%)</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OR=7.77 [4.03, 14.99] (p&lt;0.001)</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Remdesivir</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 (14.3%)</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 (1.1%)</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 (2.8%)</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OR=15.50 [1.31, 184.09] (p=0.044)</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Favipiravir</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(25.0%)</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 (14.3%)</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 (15.4%)</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OR=2.00 [0.17, 23.25] (p=0.502)</w:t>
            </w:r>
          </w:p>
        </w:tc>
      </w:tr>
      <w:tr>
        <w:tblPrEx>
          <w:tblCellMar>
            <w:top w:w="0" w:type="dxa"/>
            <w:left w:w="108" w:type="dxa"/>
            <w:bottom w:w="0" w:type="dxa"/>
            <w:right w:w="108" w:type="dxa"/>
          </w:tblCellMar>
        </w:tblPrEx>
        <w:trPr>
          <w:cantSplit/>
          <w:trHeight w:val="0" w:hRule="atLeast"/>
          <w:jc w:val="center"/>
        </w:trPr>
        <w:tc>
          <w:tcPr>
            <w:tcW w:w="2190"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Tocilizumab</w:t>
            </w:r>
          </w:p>
        </w:tc>
        <w:tc>
          <w:tcPr>
            <w:tcW w:w="64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 (2.8%)</w:t>
            </w:r>
          </w:p>
        </w:tc>
        <w:tc>
          <w:tcPr>
            <w:tcW w:w="568"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 (0.3%)</w:t>
            </w:r>
          </w:p>
        </w:tc>
        <w:tc>
          <w:tcPr>
            <w:tcW w:w="614"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 (0.9%)</w:t>
            </w:r>
          </w:p>
        </w:tc>
        <w:tc>
          <w:tcPr>
            <w:tcW w:w="983"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OR=10.16 [1.05, 98.69] (p=0.041)</w:t>
            </w:r>
          </w:p>
        </w:tc>
      </w:tr>
      <w:tr>
        <w:tblPrEx>
          <w:tblCellMar>
            <w:top w:w="0" w:type="dxa"/>
            <w:left w:w="108" w:type="dxa"/>
            <w:bottom w:w="0" w:type="dxa"/>
            <w:right w:w="108" w:type="dxa"/>
          </w:tblCellMar>
        </w:tblPrEx>
        <w:trPr>
          <w:cantSplit/>
          <w:trHeight w:val="0" w:hRule="atLeast"/>
          <w:jc w:val="center"/>
        </w:trPr>
        <w:tc>
          <w:tcPr>
            <w:tcW w:w="975" w:type="pct"/>
            <w:vMerge w:val="restar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AgeCategory</w:t>
            </w:r>
          </w:p>
        </w:tc>
        <w:tc>
          <w:tcPr>
            <w:tcW w:w="121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 xml:space="preserve"> &gt;50</w:t>
            </w:r>
          </w:p>
        </w:tc>
        <w:tc>
          <w:tcPr>
            <w:tcW w:w="643"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63 (57.3%)</w:t>
            </w:r>
          </w:p>
        </w:tc>
        <w:tc>
          <w:tcPr>
            <w:tcW w:w="568"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(30.5%)</w:t>
            </w:r>
          </w:p>
        </w:tc>
        <w:tc>
          <w:tcPr>
            <w:tcW w:w="614"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173 (36.7%)</w:t>
            </w:r>
          </w:p>
        </w:tc>
        <w:tc>
          <w:tcPr>
            <w:tcW w:w="983" w:type="pct"/>
            <w:vMerge w:val="restar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OR=3.06 [1.97, 4.75] (p&lt;0.001)</w:t>
            </w:r>
          </w:p>
        </w:tc>
      </w:tr>
      <w:tr>
        <w:tblPrEx>
          <w:tblCellMar>
            <w:top w:w="0" w:type="dxa"/>
            <w:left w:w="108" w:type="dxa"/>
            <w:bottom w:w="0" w:type="dxa"/>
            <w:right w:w="108" w:type="dxa"/>
          </w:tblCellMar>
        </w:tblPrEx>
        <w:trPr>
          <w:cantSplit/>
          <w:trHeight w:val="0" w:hRule="atLeast"/>
          <w:jc w:val="center"/>
        </w:trPr>
        <w:tc>
          <w:tcPr>
            <w:tcW w:w="975" w:type="pct"/>
            <w:vMerge w:val="continue"/>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215"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&lt;50</w:t>
            </w:r>
          </w:p>
        </w:tc>
        <w:tc>
          <w:tcPr>
            <w:tcW w:w="643"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47 (42.7%)</w:t>
            </w:r>
          </w:p>
        </w:tc>
        <w:tc>
          <w:tcPr>
            <w:tcW w:w="568"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251 (69.5%)</w:t>
            </w:r>
          </w:p>
        </w:tc>
        <w:tc>
          <w:tcPr>
            <w:tcW w:w="614"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298 (63.3%)</w:t>
            </w:r>
          </w:p>
        </w:tc>
        <w:tc>
          <w:tcPr>
            <w:tcW w:w="983" w:type="pct"/>
            <w:vMerge w:val="continue"/>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5000" w:type="pct"/>
            <w:gridSpan w:val="6"/>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i/>
                <w:color w:val="000000"/>
                <w:sz w:val="18"/>
                <w:szCs w:val="18"/>
              </w:rPr>
              <w:t xml:space="preserve">μ ±SD = Mean (standard deviation); Welch = Welch T-Test (not assuming equal variances); OR = odds-ratio [95% CI] and p value from Fisher test); </w:t>
            </w:r>
          </w:p>
        </w:tc>
      </w:tr>
      <w:bookmarkEnd w:id="7"/>
    </w:tbl>
    <w:p>
      <w:pPr>
        <w:pStyle w:val="4"/>
        <w:rPr>
          <w:sz w:val="18"/>
          <w:szCs w:val="18"/>
        </w:rPr>
      </w:pPr>
      <w:bookmarkStart w:id="8" w:name="summary-table-by-igg-reactivity"/>
      <w:r>
        <w:rPr>
          <w:sz w:val="18"/>
          <w:szCs w:val="18"/>
        </w:rPr>
        <w:t>Summary table by IgG reactivity</w:t>
      </w:r>
    </w:p>
    <w:p>
      <w:pPr>
        <w:pStyle w:val="25"/>
        <w:rPr>
          <w:sz w:val="18"/>
          <w:szCs w:val="18"/>
        </w:rPr>
      </w:pPr>
      <w:r>
        <w:rPr>
          <w:sz w:val="18"/>
          <w:szCs w:val="18"/>
        </w:rPr>
        <w:t>Table 3: Sample description by IgG reactivity, defined as high if at least 1 measurement was above the 75% quartile af all IgG measurements in the database (2.906 for IgG).</w:t>
      </w:r>
    </w:p>
    <w:tbl>
      <w:tblPr>
        <w:tblStyle w:val="13"/>
        <w:tblW w:w="5000" w:type="pct"/>
        <w:jc w:val="center"/>
        <w:tblLayout w:type="autofit"/>
        <w:tblCellMar>
          <w:top w:w="0" w:type="dxa"/>
          <w:left w:w="108" w:type="dxa"/>
          <w:bottom w:w="0" w:type="dxa"/>
          <w:right w:w="108" w:type="dxa"/>
        </w:tblCellMar>
      </w:tblPr>
      <w:tblGrid>
        <w:gridCol w:w="2095"/>
        <w:gridCol w:w="2583"/>
        <w:gridCol w:w="1380"/>
        <w:gridCol w:w="1320"/>
        <w:gridCol w:w="1320"/>
        <w:gridCol w:w="2102"/>
      </w:tblGrid>
      <w:tr>
        <w:tblPrEx>
          <w:tblCellMar>
            <w:top w:w="0" w:type="dxa"/>
            <w:left w:w="108" w:type="dxa"/>
            <w:bottom w:w="0" w:type="dxa"/>
            <w:right w:w="108" w:type="dxa"/>
          </w:tblCellMar>
        </w:tblPrEx>
        <w:trPr>
          <w:cantSplit/>
          <w:trHeight w:val="0" w:hRule="atLeast"/>
          <w:tblHeader/>
          <w:jc w:val="center"/>
        </w:trPr>
        <w:tc>
          <w:tcPr>
            <w:tcW w:w="970"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Variable</w:t>
            </w:r>
          </w:p>
        </w:tc>
        <w:tc>
          <w:tcPr>
            <w:tcW w:w="1195"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Details</w:t>
            </w:r>
          </w:p>
        </w:tc>
        <w:tc>
          <w:tcPr>
            <w:tcW w:w="639"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yes</w:t>
            </w:r>
          </w:p>
        </w:tc>
        <w:tc>
          <w:tcPr>
            <w:tcW w:w="611"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no</w:t>
            </w:r>
          </w:p>
        </w:tc>
        <w:tc>
          <w:tcPr>
            <w:tcW w:w="611"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Total</w:t>
            </w:r>
          </w:p>
        </w:tc>
        <w:tc>
          <w:tcPr>
            <w:tcW w:w="970" w:type="pct"/>
            <w:tcBorders>
              <w:top w:val="single" w:color="000000" w:sz="16" w:space="0"/>
              <w:bottom w:val="single" w:color="000000" w:sz="16" w:space="0"/>
            </w:tcBorders>
            <w:shd w:val="clear" w:color="auto" w:fill="FFFFFF"/>
            <w:tcMar>
              <w:top w:w="0" w:type="dxa"/>
              <w:left w:w="0" w:type="dxa"/>
              <w:bottom w:w="0" w:type="dxa"/>
              <w:right w:w="0" w:type="dxa"/>
            </w:tcMar>
            <w:vAlign w:val="center"/>
          </w:tcPr>
          <w:p>
            <w:pPr>
              <w:spacing w:before="40" w:after="40" w:line="240" w:lineRule="auto"/>
              <w:ind w:left="100" w:right="100" w:firstLine="0"/>
              <w:jc w:val="left"/>
              <w:rPr>
                <w:sz w:val="18"/>
                <w:szCs w:val="18"/>
              </w:rPr>
            </w:pPr>
            <w:r>
              <w:rPr>
                <w:rFonts w:ascii="Arial" w:hAnsi="Arial" w:eastAsia="Arial" w:cs="Arial"/>
                <w:b/>
                <w:color w:val="111111"/>
                <w:sz w:val="18"/>
                <w:szCs w:val="18"/>
              </w:rPr>
              <w:t>Statistics</w:t>
            </w:r>
          </w:p>
        </w:tc>
      </w:tr>
      <w:tr>
        <w:tblPrEx>
          <w:tblCellMar>
            <w:top w:w="0" w:type="dxa"/>
            <w:left w:w="108" w:type="dxa"/>
            <w:bottom w:w="0" w:type="dxa"/>
            <w:right w:w="108" w:type="dxa"/>
          </w:tblCellMar>
        </w:tblPrEx>
        <w:trPr>
          <w:cantSplit/>
          <w:trHeight w:val="0" w:hRule="atLeast"/>
          <w:jc w:val="center"/>
        </w:trPr>
        <w:tc>
          <w:tcPr>
            <w:tcW w:w="970"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&gt;2.9</w:t>
            </w:r>
          </w:p>
        </w:tc>
        <w:tc>
          <w:tcPr>
            <w:tcW w:w="1195"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639"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112 (23.8%)</w:t>
            </w:r>
          </w:p>
        </w:tc>
        <w:tc>
          <w:tcPr>
            <w:tcW w:w="611"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359 (76.2%)</w:t>
            </w:r>
          </w:p>
        </w:tc>
        <w:tc>
          <w:tcPr>
            <w:tcW w:w="611"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471</w:t>
            </w:r>
          </w:p>
        </w:tc>
        <w:tc>
          <w:tcPr>
            <w:tcW w:w="970" w:type="pct"/>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single"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Age (years)</w:t>
            </w:r>
          </w:p>
        </w:tc>
        <w:tc>
          <w:tcPr>
            <w:tcW w:w="1195"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51.79 ±19.7</w:t>
            </w:r>
          </w:p>
        </w:tc>
        <w:tc>
          <w:tcPr>
            <w:tcW w:w="611"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38.98 ±21.2</w:t>
            </w:r>
          </w:p>
        </w:tc>
        <w:tc>
          <w:tcPr>
            <w:tcW w:w="611" w:type="pct"/>
            <w:tcBorders>
              <w:top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42.03 ±21.5</w:t>
            </w:r>
          </w:p>
        </w:tc>
        <w:tc>
          <w:tcPr>
            <w:tcW w:w="970" w:type="pct"/>
            <w:vMerge w:val="restart"/>
            <w:tcBorders>
              <w:top w:val="single"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55 (1:93)</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39 (0:94)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43 (0:94)</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Sex</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61 (54.5%)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167 (46.5%)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228 (48.4%)</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OR=1.38 [0.90, 2.11] (p=0.159)</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F</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51 (45.5%)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192 (53.5%)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243 (51.6%)</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HCW</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 (1.9%)</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39 (12.0%)</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41 (9.5%)</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OR=0.14 [0.03, 0.60] (p&lt;0.001)</w:t>
            </w: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Clinical form</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severe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88 (80.0%)</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120 (33.4%)</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208 (44.3%)</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OR=7.97 [4.75, 13.35]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mild</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 (20.0%)</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239 (66.6%)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261 (55.7%)</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Outcome</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deceased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 (4.5%)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 (1.4%)</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10 (2.1%)</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OR=3.31 [0.94, 11.66] (p=0.062)</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alive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106 (95.5%)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351 (98.6%)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457 (97.9%)</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ICU</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 (12.6%)</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 (4.2%)</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 (6.2%)</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OR=3.30 [1.54, 7.07] (p=0.003)</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Transfer to COVID unit</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17 (15.2%)</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37 (10.4%)</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54 (11.5%)</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OR=1.55 [0.83, 2.87] (p=0.176)</w:t>
            </w: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Hospitalization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20.57 ±14.8</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12.82 ±7.52</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14.66 ±10.3</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16.5 (1:101)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(1:59)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(1:101)</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Admission to confirmation</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-1.18 ±2.91</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-1.09 ±1.94</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-1.11 ±2.21</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p=0.257</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(-20:1)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(-14:5)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(-20:5)</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CT scan</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crazy paving and/or ground-glass opacities</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72 (65.5%)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64 (17.9%)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136 (29.1%)</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OR=8.70 [5.40, 14.02]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no significant changes</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38 (34.5%)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294 (82.1%)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332 (70.9%)</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CT - Lung damage</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high area damage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49 (47.6%)</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 (6.1%)</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70 (15.6%)</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OR=14.00 [7.79, 25.17]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minimal or no lung damage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54 (52.4%)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324 (93.9%)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378 (84.4%)</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Test 1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7.52 ±4.76</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6.33 ±4.16</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6.61 ±4.34</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p=0.007</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 (0:21)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(0:19)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(0:21)</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1</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91 (86.7%)</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271 (83.6%)</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362 (84.4%)</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OR=1.27 [0.67, 2.40] (p=0.537)</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14 (13.3%)</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53 (16.4%)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67 (15.6%)</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1</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5.35 ±6.4</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1.25 ±3.73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±4.6</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3.13 (0.38:26.56)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0.54 (0.17:52.57)</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0.68 (0.17:52.57)</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1</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14.69 ±27.3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0.877 ±0.43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3.37 ±12.7</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6.33 (0.62:178.19)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0.71 (0.49:2.86)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0.78 (0.49:178.19)</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Test 2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12.23 ±5.29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10.69 ±3.75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11.14 ±4.3</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p=0.011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12 (1:30)</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(1:21)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 (1:30)</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2</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60 (76.9%)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125 (66.1%)</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185 (69.3%)</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OR=1.71 [0.93, 3.13] (p=0.108)</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(23.1%)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64 (33.9%)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82 (30.7%)</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2</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10.09 ±13.5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2.55 ±11.3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4.65 ±12.4</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4.32 (0.39:60.04)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0.81 (0.22:123.08)</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1.09 (0.22:123.08)</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2</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13.99 ±15.3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0.923 ±0.377</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4.54 ±9.92</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8.32 (0.57:69.39)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 (0.52:2.1)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0.98 (0.52:69.39)</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Test 3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16.36 ±6.63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14.60 ±4.5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15.25 ±5.43</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p=0.046</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15.5 (3:37)</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 (5:33)</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 (3:37)</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3</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42 (60.9%)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57 (52.3%)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99 (55.6%)</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OR=1.42 [0.77, 2.62] (p=0.282)</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27 (39.1%)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52 (47.7%)</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79 (44.4%)</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3</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16.32 ±28.2</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3.58 ±9.43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9.17 ±20.8</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6.4 (0.68:124.84)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1.05 (0.24:54.49)</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1.99 (0.24:124.84)</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3</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23.31 ±31.2</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0.998 ±0.439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10.78 ±23.3</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7.95 (1.12:130.36)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0.84 (0.58:2.65)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1.45 (0.58:130.36)</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4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20.61 ±8.07</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18.17 ±5.07</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19.18 ±6.56</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p=0.073</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20 (6:44)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(6:32)</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18 (6:44)</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4</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32 (60.4%)</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39 (52.0%)</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71 (55.5%)</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OR=1.41 [0.69, 2.87] (p=0.372)</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21 (39.6%)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36 (48.0%)</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57 (44.5%)</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4</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14.10 ±25.0</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1.58 ±1.44</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8.95 ±20.0</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5.35 (0.57:100.86)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1.15 (0.49:5.83)</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2.8 (0.49:100.86)</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4</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36.49 ±37.5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1.39 ±0.812</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22.04 ±33.4</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21.46 (5.85:133.35)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0.97 (0.65:2.85)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6.94 (0.65:133.35)</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Test 5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24.54 ±9.47</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21.57 ±5.35</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22.85 ±7.51</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MW: p=0.188</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(9:57)</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21.5 (9:35)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(9:57)</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RT - PCR 5</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detectable</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13 (38.2%)</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(50.0%)</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35 (44.9%)</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OR=0.62 [0.25, 1.54] (p=0.362)</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negative</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21 (61.8%)</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 (50.0%)</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43 (55.1%)</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5</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5.61 ±5.93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±0.951</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2.79 ±4.22</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p=0.015</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3.83 (0.61:19.58)</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0.86 (0.44:4.4)</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0.98 (0.44:19.58)</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5</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18.66 ±16.1</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1.04 ±0.469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7.65 ±12.9</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(3.05:40.52)</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0.86 (0.6:2.12)</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1.52 (0.6:40.52)</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at discharge</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7.87 ±8.73</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0.967 ±0.399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3.91 ±6.6</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3.74 (0.61:29.42)</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0.86 (0.44:2.06)</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1.08 (0.44:29.42)</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IgG at discharge</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29.34 ±35.2</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2.24 ±5.11</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13.08 ±26.0</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17.91 (3.05:133.35)</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0.86 (0.6:27.23)</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2.12 (0.6:133.35)</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IgM &gt;2.6</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76 (67.9%)</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34 (9.5%)</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110 (23.4%)</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OR=20.18 [11.86, 34.32] (p&lt;0.001)</w:t>
            </w: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Hydroxychloroquine (days)</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μ ±SD</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10.41 ±5.68</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5.18 ±4.69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6.43 ±5.42</w:t>
            </w:r>
          </w:p>
        </w:tc>
        <w:tc>
          <w:tcPr>
            <w:tcW w:w="970" w:type="pct"/>
            <w:vMerge w:val="restar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MW: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M (min:max)</w:t>
            </w:r>
          </w:p>
        </w:tc>
        <w:tc>
          <w:tcPr>
            <w:tcW w:w="639"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 (0:21)</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 (0:23)</w:t>
            </w:r>
          </w:p>
        </w:tc>
        <w:tc>
          <w:tcPr>
            <w:tcW w:w="611" w:type="pct"/>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 (0:23)</w:t>
            </w:r>
          </w:p>
        </w:tc>
        <w:tc>
          <w:tcPr>
            <w:tcW w:w="970" w:type="pct"/>
            <w:vMerge w:val="continue"/>
            <w:tcBorders>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Anticoagulant</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86 (76.8%)</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132 (37.1%)</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218 (46.6%)</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OR=5.61 [3.44, 9.15] (p&lt;0.001)</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Corticoid</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 (40.5%)</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30 (8.4%)</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75 (16.0%)</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OR=7.43 [4.36, 12.66] (p&lt;0.001)</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Kaletra</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46 (41.4%)</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177 (49.4%)</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223 (47.5%)</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OR=0.72 [0.47, 1.11] (p=0.158)</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Daruna</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28 (25.2%)</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 (4.8%)</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45 (9.6%)</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OR=6.75 [3.53, 12.91] (p&lt;0.001)</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Remdesivir</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2 (10.0%)</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1 (1.1%)</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3 (2.8%)</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OR=9.67 [0.83, 112.42] (p=0.087)</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Favipiravir</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0</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 (18.2%)</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6 (15.4%)</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color w:val="111111"/>
                <w:sz w:val="18"/>
                <w:szCs w:val="18"/>
              </w:rPr>
              <w:t>OR=0.33 [0.02, 6.54] (p=0.564)</w:t>
            </w:r>
          </w:p>
        </w:tc>
      </w:tr>
      <w:tr>
        <w:tblPrEx>
          <w:tblCellMar>
            <w:top w:w="0" w:type="dxa"/>
            <w:left w:w="108" w:type="dxa"/>
            <w:bottom w:w="0" w:type="dxa"/>
            <w:right w:w="108" w:type="dxa"/>
          </w:tblCellMar>
        </w:tblPrEx>
        <w:trPr>
          <w:cantSplit/>
          <w:trHeight w:val="0" w:hRule="atLeast"/>
          <w:jc w:val="center"/>
        </w:trPr>
        <w:tc>
          <w:tcPr>
            <w:tcW w:w="2166" w:type="pct"/>
            <w:gridSpan w:val="2"/>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Tocilizumab</w:t>
            </w:r>
          </w:p>
        </w:tc>
        <w:tc>
          <w:tcPr>
            <w:tcW w:w="639"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3 (2.7%)</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 (0.3%)</w:t>
            </w:r>
          </w:p>
        </w:tc>
        <w:tc>
          <w:tcPr>
            <w:tcW w:w="611"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 (0.9%)</w:t>
            </w:r>
          </w:p>
        </w:tc>
        <w:tc>
          <w:tcPr>
            <w:tcW w:w="970" w:type="pct"/>
            <w:tcBorders>
              <w:top w:val="dashed" w:color="000000" w:sz="8" w:space="0"/>
              <w:bottom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OR=9.92 [1.02, 96.31] (p=0.043)</w:t>
            </w:r>
          </w:p>
        </w:tc>
      </w:tr>
      <w:tr>
        <w:tblPrEx>
          <w:tblCellMar>
            <w:top w:w="0" w:type="dxa"/>
            <w:left w:w="108" w:type="dxa"/>
            <w:bottom w:w="0" w:type="dxa"/>
            <w:right w:w="108" w:type="dxa"/>
          </w:tblCellMar>
        </w:tblPrEx>
        <w:trPr>
          <w:cantSplit/>
          <w:trHeight w:val="0" w:hRule="atLeast"/>
          <w:jc w:val="center"/>
        </w:trPr>
        <w:tc>
          <w:tcPr>
            <w:tcW w:w="970" w:type="pct"/>
            <w:vMerge w:val="restar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AgeCategory</w:t>
            </w:r>
          </w:p>
        </w:tc>
        <w:tc>
          <w:tcPr>
            <w:tcW w:w="1195"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 xml:space="preserve"> &gt;50</w:t>
            </w:r>
          </w:p>
        </w:tc>
        <w:tc>
          <w:tcPr>
            <w:tcW w:w="639"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66 (58.9%)</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107 (29.8%)</w:t>
            </w:r>
          </w:p>
        </w:tc>
        <w:tc>
          <w:tcPr>
            <w:tcW w:w="611" w:type="pct"/>
            <w:tcBorders>
              <w:top w:val="dashed"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173 (36.7%)</w:t>
            </w:r>
          </w:p>
        </w:tc>
        <w:tc>
          <w:tcPr>
            <w:tcW w:w="970" w:type="pct"/>
            <w:vMerge w:val="restart"/>
            <w:tcBorders>
              <w:top w:val="dashed" w:color="000000" w:sz="8" w:space="0"/>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OR=3.38 [2.18, 5.24] (p&lt;0.001)</w:t>
            </w:r>
          </w:p>
        </w:tc>
      </w:tr>
      <w:tr>
        <w:tblPrEx>
          <w:tblCellMar>
            <w:top w:w="0" w:type="dxa"/>
            <w:left w:w="108" w:type="dxa"/>
            <w:bottom w:w="0" w:type="dxa"/>
            <w:right w:w="108" w:type="dxa"/>
          </w:tblCellMar>
        </w:tblPrEx>
        <w:trPr>
          <w:cantSplit/>
          <w:trHeight w:val="0" w:hRule="atLeast"/>
          <w:jc w:val="center"/>
        </w:trPr>
        <w:tc>
          <w:tcPr>
            <w:tcW w:w="970" w:type="pct"/>
            <w:vMerge w:val="continue"/>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c>
          <w:tcPr>
            <w:tcW w:w="1195"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&lt;50</w:t>
            </w:r>
          </w:p>
        </w:tc>
        <w:tc>
          <w:tcPr>
            <w:tcW w:w="639"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46 (41.1%)</w:t>
            </w:r>
          </w:p>
        </w:tc>
        <w:tc>
          <w:tcPr>
            <w:tcW w:w="611"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252 (70.2%)</w:t>
            </w:r>
          </w:p>
        </w:tc>
        <w:tc>
          <w:tcPr>
            <w:tcW w:w="611" w:type="pct"/>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b/>
                <w:color w:val="111111"/>
                <w:sz w:val="18"/>
                <w:szCs w:val="18"/>
              </w:rPr>
              <w:t>298 (63.3%)</w:t>
            </w:r>
          </w:p>
        </w:tc>
        <w:tc>
          <w:tcPr>
            <w:tcW w:w="970" w:type="pct"/>
            <w:vMerge w:val="continue"/>
            <w:tcBorders>
              <w:bottom w:val="single" w:color="000000" w:sz="16"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p>
        </w:tc>
      </w:tr>
      <w:tr>
        <w:tblPrEx>
          <w:tblCellMar>
            <w:top w:w="0" w:type="dxa"/>
            <w:left w:w="108" w:type="dxa"/>
            <w:bottom w:w="0" w:type="dxa"/>
            <w:right w:w="108" w:type="dxa"/>
          </w:tblCellMar>
        </w:tblPrEx>
        <w:trPr>
          <w:cantSplit/>
          <w:trHeight w:val="0" w:hRule="atLeast"/>
          <w:jc w:val="center"/>
        </w:trPr>
        <w:tc>
          <w:tcPr>
            <w:tcW w:w="5000" w:type="pct"/>
            <w:gridSpan w:val="6"/>
            <w:tcBorders>
              <w:bottom w:val="single" w:color="000000" w:sz="8" w:space="0"/>
            </w:tcBorders>
            <w:shd w:val="clear" w:color="auto" w:fill="FFFFFF"/>
            <w:tcMar>
              <w:top w:w="0" w:type="dxa"/>
              <w:left w:w="0" w:type="dxa"/>
              <w:bottom w:w="0" w:type="dxa"/>
              <w:right w:w="0" w:type="dxa"/>
            </w:tcMar>
            <w:vAlign w:val="center"/>
          </w:tcPr>
          <w:p>
            <w:pPr>
              <w:spacing w:before="0" w:after="0" w:line="240" w:lineRule="auto"/>
              <w:ind w:left="0" w:right="0" w:firstLine="0"/>
              <w:jc w:val="left"/>
              <w:rPr>
                <w:sz w:val="18"/>
                <w:szCs w:val="18"/>
              </w:rPr>
            </w:pPr>
            <w:r>
              <w:rPr>
                <w:rFonts w:ascii="Arial" w:hAnsi="Arial" w:eastAsia="Arial" w:cs="Arial"/>
                <w:i/>
                <w:color w:val="000000"/>
                <w:sz w:val="18"/>
                <w:szCs w:val="18"/>
              </w:rPr>
              <w:t xml:space="preserve">μ ±SD = Mean (standard deviation); Welch = Welch T-Test (not assuming equal variances); OR = odds-ratio [95% CI] and p value from Fisher test); </w:t>
            </w:r>
          </w:p>
        </w:tc>
      </w:tr>
      <w:bookmarkEnd w:id="1"/>
      <w:bookmarkEnd w:id="8"/>
    </w:tbl>
    <w:p>
      <w:pPr>
        <w:pStyle w:val="2"/>
        <w:rPr>
          <w:sz w:val="18"/>
          <w:szCs w:val="18"/>
        </w:rPr>
      </w:pPr>
      <w:bookmarkStart w:id="9" w:name="results-all"/>
      <w:r>
        <w:rPr>
          <w:sz w:val="18"/>
          <w:szCs w:val="18"/>
        </w:rPr>
        <w:t>Results: all</w:t>
      </w:r>
    </w:p>
    <w:p>
      <w:pPr>
        <w:pStyle w:val="25"/>
        <w:rPr>
          <w:sz w:val="18"/>
          <w:szCs w:val="18"/>
        </w:rPr>
      </w:pPr>
      <w:r>
        <w:rPr>
          <w:sz w:val="18"/>
          <w:szCs w:val="18"/>
        </w:rPr>
        <w:t>IgM and IgG values at all time intervals since confirmation date were consistently significantly correlated, irrespective of time since confirmation, date of confirmation or clinical form.</w:t>
      </w:r>
    </w:p>
    <w:p>
      <w:pPr>
        <w:pStyle w:val="4"/>
        <w:rPr>
          <w:sz w:val="18"/>
          <w:szCs w:val="18"/>
        </w:rPr>
      </w:pPr>
      <w:bookmarkStart w:id="10" w:name="igm-by-time"/>
      <w:r>
        <w:rPr>
          <w:sz w:val="18"/>
          <w:szCs w:val="18"/>
        </w:rPr>
        <w:t>IgM by time</w:t>
      </w:r>
    </w:p>
    <w:p>
      <w:pPr>
        <w:pStyle w:val="25"/>
        <w:rPr>
          <w:sz w:val="18"/>
          <w:szCs w:val="18"/>
        </w:rPr>
      </w:pPr>
      <w:r>
        <w:rPr>
          <w:sz w:val="18"/>
          <w:szCs w:val="18"/>
        </w:rPr>
        <w:drawing>
          <wp:inline distT="0" distB="0" distL="114300" distR="114300">
            <wp:extent cx="4579620" cy="2747645"/>
            <wp:effectExtent l="0" t="0" r="0" b="0"/>
            <wp:docPr id="6"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true" noChangeArrowheads="true"/>
                    </pic:cNvPicPr>
                  </pic:nvPicPr>
                  <pic:blipFill>
                    <a:blip r:embed="rId11"/>
                    <a:stretch>
                      <a:fillRect/>
                    </a:stretch>
                  </pic:blipFill>
                  <pic:spPr>
                    <a:xfrm>
                      <a:off x="0" y="0"/>
                      <a:ext cx="4579632" cy="2747779"/>
                    </a:xfrm>
                    <a:prstGeom prst="rect">
                      <a:avLst/>
                    </a:prstGeom>
                    <a:noFill/>
                    <a:ln w="9525">
                      <a:noFill/>
                    </a:ln>
                  </pic:spPr>
                </pic:pic>
              </a:graphicData>
            </a:graphic>
          </wp:inline>
        </w:drawing>
      </w:r>
    </w:p>
    <w:bookmarkEnd w:id="10"/>
    <w:p>
      <w:pPr>
        <w:pStyle w:val="4"/>
        <w:rPr>
          <w:sz w:val="18"/>
          <w:szCs w:val="18"/>
        </w:rPr>
      </w:pPr>
      <w:bookmarkStart w:id="11" w:name="igg-by-time"/>
      <w:r>
        <w:rPr>
          <w:sz w:val="18"/>
          <w:szCs w:val="18"/>
        </w:rPr>
        <w:t>IgG by time</w:t>
      </w:r>
    </w:p>
    <w:p>
      <w:pPr>
        <w:pStyle w:val="25"/>
        <w:rPr>
          <w:sz w:val="18"/>
          <w:szCs w:val="18"/>
        </w:rPr>
      </w:pPr>
      <w:r>
        <w:rPr>
          <w:sz w:val="18"/>
          <w:szCs w:val="18"/>
        </w:rPr>
        <w:drawing>
          <wp:inline distT="0" distB="0" distL="114300" distR="114300">
            <wp:extent cx="4579620" cy="2747645"/>
            <wp:effectExtent l="0" t="0" r="0" b="0"/>
            <wp:docPr id="7"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true" noChangeArrowheads="true"/>
                    </pic:cNvPicPr>
                  </pic:nvPicPr>
                  <pic:blipFill>
                    <a:blip r:embed="rId12"/>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drawing>
          <wp:inline distT="0" distB="0" distL="114300" distR="114300">
            <wp:extent cx="4579620" cy="2747645"/>
            <wp:effectExtent l="0" t="0" r="0" b="0"/>
            <wp:docPr id="8"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true" noChangeArrowheads="true"/>
                    </pic:cNvPicPr>
                  </pic:nvPicPr>
                  <pic:blipFill>
                    <a:blip r:embed="rId13"/>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5: The proportion of patients found with detectable IgM (&gt;0.8), IgG (&gt;0.8) and RT-PCR results (uncertain results removed), by time since confirmation (first month) and clinical severity (mild: asymptomatic to mild; severe: intermediate to critical). Also shown: weighted probit regression line, number of tests performed (dot area and bottom histogram with right y-axis) and binomial 95% confidence interval around average proportion.</w:t>
      </w:r>
    </w:p>
    <w:bookmarkEnd w:id="9"/>
    <w:bookmarkEnd w:id="11"/>
    <w:p>
      <w:pPr>
        <w:pStyle w:val="2"/>
        <w:rPr>
          <w:sz w:val="18"/>
          <w:szCs w:val="18"/>
        </w:rPr>
      </w:pPr>
      <w:bookmarkStart w:id="12" w:name="km-plots"/>
      <w:r>
        <w:rPr>
          <w:sz w:val="18"/>
          <w:szCs w:val="18"/>
        </w:rPr>
        <w:t>KM plots</w:t>
      </w:r>
    </w:p>
    <w:p>
      <w:pPr>
        <w:pStyle w:val="5"/>
        <w:rPr>
          <w:sz w:val="18"/>
          <w:szCs w:val="18"/>
        </w:rPr>
      </w:pPr>
      <w:bookmarkStart w:id="13" w:name="pcr"/>
      <w:r>
        <w:rPr>
          <w:sz w:val="18"/>
          <w:szCs w:val="18"/>
        </w:rPr>
        <w:t>PCR</w:t>
      </w:r>
    </w:p>
    <w:p>
      <w:pPr>
        <w:pStyle w:val="25"/>
        <w:rPr>
          <w:sz w:val="18"/>
          <w:szCs w:val="18"/>
        </w:rPr>
      </w:pPr>
      <w:r>
        <w:rPr>
          <w:sz w:val="18"/>
          <w:szCs w:val="18"/>
        </w:rPr>
        <w:drawing>
          <wp:inline distT="0" distB="0" distL="114300" distR="114300">
            <wp:extent cx="4579620" cy="2747645"/>
            <wp:effectExtent l="0" t="0" r="0" b="0"/>
            <wp:docPr id="9"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true" noChangeArrowheads="true"/>
                    </pic:cNvPicPr>
                  </pic:nvPicPr>
                  <pic:blipFill>
                    <a:blip r:embed="rId14"/>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6: Reverse cummulative distribution (Kaplan Meier) plot of RT-PCR negativation rate by time since confirmation and severity. Dates were calculated to the first negative PCR result. Also shown: invese hazard-ratio comparing all severities to asymptomatic, with 95% CI and statistical signifficance; overall log-rank test.</w:t>
      </w:r>
    </w:p>
    <w:p>
      <w:pPr>
        <w:pStyle w:val="3"/>
        <w:rPr>
          <w:sz w:val="18"/>
          <w:szCs w:val="18"/>
        </w:rPr>
      </w:pPr>
      <w:r>
        <w:rPr>
          <w:sz w:val="18"/>
          <w:szCs w:val="18"/>
        </w:rPr>
        <w:drawing>
          <wp:inline distT="0" distB="0" distL="114300" distR="114300">
            <wp:extent cx="4579620" cy="2747645"/>
            <wp:effectExtent l="0" t="0" r="0" b="0"/>
            <wp:docPr id="10"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true" noChangeArrowheads="true"/>
                    </pic:cNvPicPr>
                  </pic:nvPicPr>
                  <pic:blipFill>
                    <a:blip r:embed="rId15"/>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7: Reverse cummulative distribution (Kaplan Meier) plot of RT-PCR negativation rate by time since confirmation and severity. Dates were calculated to the first negative PCR result. Also shown: invese hazard-ratio comparing more severe forms to asymptomatic - mild, with 95% CI and log-rank test.</w:t>
      </w:r>
    </w:p>
    <w:bookmarkEnd w:id="13"/>
    <w:p>
      <w:pPr>
        <w:pStyle w:val="5"/>
        <w:rPr>
          <w:sz w:val="18"/>
          <w:szCs w:val="18"/>
        </w:rPr>
      </w:pPr>
      <w:bookmarkStart w:id="14" w:name="igm"/>
      <w:r>
        <w:rPr>
          <w:sz w:val="18"/>
          <w:szCs w:val="18"/>
        </w:rPr>
        <w:t>IgM</w:t>
      </w:r>
    </w:p>
    <w:p>
      <w:pPr>
        <w:pStyle w:val="25"/>
        <w:rPr>
          <w:sz w:val="18"/>
          <w:szCs w:val="18"/>
        </w:rPr>
      </w:pPr>
      <w:r>
        <w:rPr>
          <w:sz w:val="18"/>
          <w:szCs w:val="18"/>
        </w:rPr>
        <w:drawing>
          <wp:inline distT="0" distB="0" distL="114300" distR="114300">
            <wp:extent cx="4579620" cy="2747645"/>
            <wp:effectExtent l="0" t="0" r="0" b="0"/>
            <wp:docPr id="11"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true" noChangeArrowheads="true"/>
                    </pic:cNvPicPr>
                  </pic:nvPicPr>
                  <pic:blipFill>
                    <a:blip r:embed="rId16"/>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8: Reverse cummulative distribution (Kaplan Meier) plot of IgM positivation rate (first value &gt; 0.8) by time since confirmation and severity. Dates were calculated to the first negative PCR result. Also shown: invese hazard-ratio comparing all severities to asymptomatic, with 95% CI and statistical signifficance; overall log-rank test.</w:t>
      </w:r>
    </w:p>
    <w:p>
      <w:pPr>
        <w:pStyle w:val="3"/>
        <w:rPr>
          <w:sz w:val="18"/>
          <w:szCs w:val="18"/>
        </w:rPr>
      </w:pPr>
      <w:r>
        <w:rPr>
          <w:sz w:val="18"/>
          <w:szCs w:val="18"/>
        </w:rPr>
        <w:drawing>
          <wp:inline distT="0" distB="0" distL="114300" distR="114300">
            <wp:extent cx="4579620" cy="2747645"/>
            <wp:effectExtent l="0" t="0" r="0" b="0"/>
            <wp:docPr id="12"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true" noChangeArrowheads="true"/>
                    </pic:cNvPicPr>
                  </pic:nvPicPr>
                  <pic:blipFill>
                    <a:blip r:embed="rId17"/>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9: Reverse cummulative distribution (Kaplan Meier) plot of IgM positivation rate (first value &gt; 0.8) by time since confirmation and severity. Dates were calculated to the first negative PCR result. Also shown: invese hazard-ratio comparing more severe forms to asymptomatic - mild, with 95% CI and log-rank test.</w:t>
      </w:r>
    </w:p>
    <w:bookmarkEnd w:id="14"/>
    <w:p>
      <w:pPr>
        <w:pStyle w:val="5"/>
        <w:rPr>
          <w:sz w:val="18"/>
          <w:szCs w:val="18"/>
        </w:rPr>
      </w:pPr>
      <w:bookmarkStart w:id="15" w:name="igg"/>
      <w:r>
        <w:rPr>
          <w:sz w:val="18"/>
          <w:szCs w:val="18"/>
        </w:rPr>
        <w:t>IgG</w:t>
      </w:r>
    </w:p>
    <w:p>
      <w:pPr>
        <w:pStyle w:val="25"/>
        <w:rPr>
          <w:sz w:val="18"/>
          <w:szCs w:val="18"/>
        </w:rPr>
      </w:pPr>
      <w:r>
        <w:rPr>
          <w:sz w:val="18"/>
          <w:szCs w:val="18"/>
        </w:rPr>
        <w:drawing>
          <wp:inline distT="0" distB="0" distL="114300" distR="114300">
            <wp:extent cx="4579620" cy="2747645"/>
            <wp:effectExtent l="0" t="0" r="0" b="0"/>
            <wp:docPr id="13"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true" noChangeArrowheads="true"/>
                    </pic:cNvPicPr>
                  </pic:nvPicPr>
                  <pic:blipFill>
                    <a:blip r:embed="rId18"/>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10: Reverse cummulative distribution (Kaplan Meier) plot of IgG positivation rate (first value &gt; 0.8) by time since confirmation and severity. Dates were calculated to the first negative PCR result. Also shown: invese hazard-ratio comparing all severities to asymptomatic, with 95% CI and statistical signifficance; overall log-rank test.</w:t>
      </w:r>
    </w:p>
    <w:p>
      <w:pPr>
        <w:pStyle w:val="3"/>
        <w:rPr>
          <w:sz w:val="18"/>
          <w:szCs w:val="18"/>
        </w:rPr>
      </w:pPr>
      <w:r>
        <w:rPr>
          <w:sz w:val="18"/>
          <w:szCs w:val="18"/>
        </w:rPr>
        <w:drawing>
          <wp:inline distT="0" distB="0" distL="114300" distR="114300">
            <wp:extent cx="4579620" cy="2747645"/>
            <wp:effectExtent l="0" t="0" r="0" b="0"/>
            <wp:docPr id="14" name="Pictu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true" noChangeArrowheads="true"/>
                    </pic:cNvPicPr>
                  </pic:nvPicPr>
                  <pic:blipFill>
                    <a:blip r:embed="rId19"/>
                    <a:stretch>
                      <a:fillRect/>
                    </a:stretch>
                  </pic:blipFill>
                  <pic:spPr>
                    <a:xfrm>
                      <a:off x="0" y="0"/>
                      <a:ext cx="4579632" cy="2747779"/>
                    </a:xfrm>
                    <a:prstGeom prst="rect">
                      <a:avLst/>
                    </a:prstGeom>
                    <a:noFill/>
                    <a:ln w="9525">
                      <a:noFill/>
                    </a:ln>
                  </pic:spPr>
                </pic:pic>
              </a:graphicData>
            </a:graphic>
          </wp:inline>
        </w:drawing>
      </w:r>
    </w:p>
    <w:p>
      <w:pPr>
        <w:pStyle w:val="3"/>
        <w:rPr>
          <w:sz w:val="18"/>
          <w:szCs w:val="18"/>
        </w:rPr>
      </w:pPr>
      <w:r>
        <w:rPr>
          <w:sz w:val="18"/>
          <w:szCs w:val="18"/>
        </w:rPr>
        <w:t>Figure 11: Reverse cummulative distribution (Kaplan Meier) plot of IgG positivation rate (first value &gt; 0.8) by time since confirmation and severity. Dates were calculated to the first negative PCR result. Also shown: invese hazard-ratio comparing more severe forms to asymptomatic - mild, with 95% CI and log-rank test.</w:t>
      </w:r>
    </w:p>
    <w:bookmarkEnd w:id="12"/>
    <w:bookmarkEnd w:id="15"/>
    <w:p>
      <w:pPr>
        <w:pStyle w:val="2"/>
        <w:rPr>
          <w:sz w:val="18"/>
          <w:szCs w:val="18"/>
        </w:rPr>
      </w:pPr>
      <w:bookmarkStart w:id="16" w:name="references"/>
      <w:r>
        <w:rPr>
          <w:sz w:val="18"/>
          <w:szCs w:val="18"/>
        </w:rPr>
        <w:t>References</w:t>
      </w:r>
    </w:p>
    <w:p>
      <w:pPr>
        <w:pStyle w:val="26"/>
        <w:numPr>
          <w:ilvl w:val="0"/>
          <w:numId w:val="2"/>
        </w:numPr>
        <w:rPr>
          <w:sz w:val="18"/>
          <w:szCs w:val="18"/>
        </w:rPr>
      </w:pPr>
      <w:r>
        <w:rPr>
          <w:sz w:val="18"/>
          <w:szCs w:val="18"/>
        </w:rPr>
        <w:t xml:space="preserve">R Core Team (2020). R: A language and environment for statistical computing. R Foundation for Statistical Computing, Vienna, Austria. URL </w:t>
      </w:r>
      <w:r>
        <w:rPr>
          <w:sz w:val="18"/>
          <w:szCs w:val="18"/>
        </w:rPr>
        <w:fldChar w:fldCharType="begin"/>
      </w:r>
      <w:r>
        <w:rPr>
          <w:sz w:val="18"/>
          <w:szCs w:val="18"/>
        </w:rPr>
        <w:instrText xml:space="preserve"> HYPERLINK "https://www.R-project.org/" \h </w:instrText>
      </w:r>
      <w:r>
        <w:rPr>
          <w:sz w:val="18"/>
          <w:szCs w:val="18"/>
        </w:rPr>
        <w:fldChar w:fldCharType="separate"/>
      </w:r>
      <w:r>
        <w:rPr>
          <w:rStyle w:val="21"/>
          <w:sz w:val="18"/>
          <w:szCs w:val="18"/>
        </w:rPr>
        <w:t>https://www.R-project.org/</w:t>
      </w:r>
      <w:r>
        <w:rPr>
          <w:rStyle w:val="21"/>
          <w:sz w:val="18"/>
          <w:szCs w:val="18"/>
        </w:rPr>
        <w:fldChar w:fldCharType="end"/>
      </w:r>
      <w:r>
        <w:rPr>
          <w:sz w:val="18"/>
          <w:szCs w:val="18"/>
        </w:rPr>
        <w:t>.</w:t>
      </w:r>
    </w:p>
    <w:bookmarkEnd w:id="16"/>
    <w:sectPr>
      <w:pgMar w:top="720" w:right="720" w:bottom="720" w:left="7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黑体">
    <w:altName w:val="Times New Roma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imSun">
    <w:altName w:val="Times New Roman"/>
    <w:panose1 w:val="02010600030101010101"/>
    <w:charset w:val="86"/>
    <w:family w:val="auto"/>
    <w:pitch w:val="default"/>
    <w:sig w:usb0="00000000" w:usb1="00000000" w:usb2="00000016" w:usb3="00000000" w:csb0="00040001" w:csb1="00000000"/>
  </w:font>
  <w:font w:name="Consolas">
    <w:panose1 w:val="020B0609020204030204"/>
    <w:charset w:val="00"/>
    <w:family w:val="auto"/>
    <w:pitch w:val="default"/>
    <w:sig w:usb0="E00006FF" w:usb1="0000FCFF" w:usb2="00000001" w:usb3="00000000" w:csb0="6000019F" w:csb1="DFD70000"/>
  </w:font>
  <w:font w:name="3270Medium Nerd Font">
    <w:panose1 w:val="02000609000000000000"/>
    <w:charset w:val="00"/>
    <w:family w:val="auto"/>
    <w:pitch w:val="default"/>
    <w:sig w:usb0="A00002AF" w:usb1="5200F9FB" w:usb2="02004030" w:usb3="00000000" w:csb0="6000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3BF3B7"/>
    <w:multiLevelType w:val="multilevel"/>
    <w:tmpl w:val="453BF3B7"/>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69B462F8"/>
    <w:multiLevelType w:val="multilevel"/>
    <w:tmpl w:val="69B462F8"/>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37E6F126"/>
    <w:rsid w:val="4FB7A9FB"/>
    <w:rsid w:val="DBBF890E"/>
    <w:rsid w:val="DD7677C1"/>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40" w:lineRule="auto"/>
      <w:jc w:val="both"/>
    </w:pPr>
    <w:rPr>
      <w:rFonts w:ascii="Times New Roman" w:hAnsi="Times New Roman" w:eastAsiaTheme="minorEastAsia" w:cstheme="minorBidi"/>
      <w:sz w:val="20"/>
      <w:szCs w:val="24"/>
      <w:lang w:val="en-US" w:eastAsia="en-US" w:bidi="ar-SA"/>
    </w:rPr>
  </w:style>
  <w:style w:type="paragraph" w:styleId="2">
    <w:name w:val="heading 1"/>
    <w:basedOn w:val="1"/>
    <w:next w:val="3"/>
    <w:qFormat/>
    <w:uiPriority w:val="9"/>
    <w:pPr>
      <w:keepNext/>
      <w:keepLines/>
      <w:spacing w:before="480" w:after="0" w:line="360" w:lineRule="auto"/>
      <w:jc w:val="left"/>
      <w:outlineLvl w:val="0"/>
    </w:pPr>
    <w:rPr>
      <w:rFonts w:eastAsiaTheme="majorEastAsia" w:cstheme="majorBidi"/>
      <w:b/>
      <w:bCs/>
      <w:color w:val="335B8A" w:themeColor="accent1" w:themeShade="B5"/>
      <w:szCs w:val="32"/>
    </w:rPr>
  </w:style>
  <w:style w:type="paragraph" w:styleId="4">
    <w:name w:val="heading 2"/>
    <w:basedOn w:val="1"/>
    <w:next w:val="3"/>
    <w:unhideWhenUsed/>
    <w:qFormat/>
    <w:uiPriority w:val="9"/>
    <w:pPr>
      <w:keepNext/>
      <w:keepLines/>
      <w:spacing w:before="200" w:after="0"/>
      <w:outlineLvl w:val="1"/>
    </w:pPr>
    <w:rPr>
      <w:rFonts w:ascii="Times New Roman" w:hAnsi="Times New Roman" w:eastAsiaTheme="majorEastAsia" w:cstheme="majorBidi"/>
      <w:b/>
      <w:bCs/>
      <w:color w:val="4F81BD" w:themeColor="accent1"/>
      <w:szCs w:val="32"/>
    </w:rPr>
  </w:style>
  <w:style w:type="paragraph" w:styleId="5">
    <w:name w:val="heading 3"/>
    <w:basedOn w:val="1"/>
    <w:next w:val="3"/>
    <w:unhideWhenUsed/>
    <w:qFormat/>
    <w:uiPriority w:val="9"/>
    <w:pPr>
      <w:keepNext/>
      <w:keepLines/>
      <w:spacing w:before="200" w:after="0"/>
      <w:outlineLvl w:val="2"/>
    </w:pPr>
    <w:rPr>
      <w:rFonts w:ascii="Times New Roman" w:hAnsi="Times New Roman" w:eastAsiaTheme="majorEastAsia" w:cstheme="majorBidi"/>
      <w:b/>
      <w:bCs/>
      <w:color w:val="4F81BD" w:themeColor="accent1"/>
      <w:sz w:val="20"/>
      <w:szCs w:val="28"/>
    </w:rPr>
  </w:style>
  <w:style w:type="paragraph" w:styleId="6">
    <w:name w:val="heading 4"/>
    <w:basedOn w:val="1"/>
    <w:next w:val="3"/>
    <w:unhideWhenUsed/>
    <w:qFormat/>
    <w:uiPriority w:val="9"/>
    <w:pPr>
      <w:keepNext/>
      <w:keepLines/>
      <w:spacing w:before="200" w:after="0"/>
      <w:outlineLvl w:val="3"/>
    </w:pPr>
    <w:rPr>
      <w:rFonts w:ascii="Times New Roman" w:hAnsi="Times New Roman" w:eastAsiaTheme="majorEastAsia" w:cstheme="majorBidi"/>
      <w:b/>
      <w:bCs/>
      <w:color w:val="4F81BD" w:themeColor="accent1"/>
      <w:sz w:val="20"/>
    </w:rPr>
  </w:style>
  <w:style w:type="paragraph" w:styleId="7">
    <w:name w:val="heading 5"/>
    <w:basedOn w:val="1"/>
    <w:next w:val="3"/>
    <w:unhideWhenUsed/>
    <w:qFormat/>
    <w:uiPriority w:val="9"/>
    <w:pPr>
      <w:keepNext/>
      <w:keepLines/>
      <w:spacing w:before="200" w:after="0"/>
      <w:outlineLvl w:val="4"/>
    </w:pPr>
    <w:rPr>
      <w:rFonts w:ascii="Times New Roman" w:hAnsi="Times New Roman" w:eastAsiaTheme="majorEastAsia" w:cstheme="majorBidi"/>
      <w:i/>
      <w:iCs/>
      <w:color w:val="4F81BD" w:themeColor="accent1"/>
      <w:sz w:val="20"/>
    </w:rPr>
  </w:style>
  <w:style w:type="paragraph" w:styleId="8">
    <w:name w:val="heading 6"/>
    <w:basedOn w:val="1"/>
    <w:next w:val="3"/>
    <w:unhideWhenUsed/>
    <w:qFormat/>
    <w:uiPriority w:val="9"/>
    <w:pPr>
      <w:keepNext/>
      <w:keepLines/>
      <w:spacing w:before="200" w:after="0"/>
      <w:outlineLvl w:val="5"/>
    </w:pPr>
    <w:rPr>
      <w:rFonts w:eastAsiaTheme="majorEastAsia" w:cstheme="majorBidi"/>
      <w:color w:val="4F81BD" w:themeColor="accent1"/>
      <w:sz w:val="20"/>
    </w:rPr>
  </w:style>
  <w:style w:type="paragraph" w:styleId="9">
    <w:name w:val="heading 7"/>
    <w:basedOn w:val="1"/>
    <w:next w:val="3"/>
    <w:unhideWhenUsed/>
    <w:qFormat/>
    <w:uiPriority w:val="9"/>
    <w:pPr>
      <w:keepNext/>
      <w:keepLines/>
      <w:spacing w:before="200" w:after="0"/>
      <w:outlineLvl w:val="6"/>
    </w:pPr>
    <w:rPr>
      <w:rFonts w:ascii="Times New Roman" w:hAnsi="Times New Roman" w:eastAsiaTheme="majorEastAsia" w:cstheme="majorBidi"/>
      <w:color w:val="4F81BD" w:themeColor="accent1"/>
      <w:sz w:val="20"/>
    </w:rPr>
  </w:style>
  <w:style w:type="paragraph" w:styleId="10">
    <w:name w:val="heading 8"/>
    <w:basedOn w:val="1"/>
    <w:next w:val="3"/>
    <w:unhideWhenUsed/>
    <w:qFormat/>
    <w:uiPriority w:val="9"/>
    <w:pPr>
      <w:keepNext/>
      <w:keepLines/>
      <w:spacing w:before="200" w:after="0"/>
      <w:outlineLvl w:val="7"/>
    </w:pPr>
    <w:rPr>
      <w:rFonts w:ascii="Times New Roman" w:hAnsi="Times New Roman" w:eastAsiaTheme="majorEastAsia" w:cstheme="majorBidi"/>
      <w:color w:val="4F81BD" w:themeColor="accent1"/>
      <w:sz w:val="20"/>
    </w:rPr>
  </w:style>
  <w:style w:type="paragraph" w:styleId="11">
    <w:name w:val="heading 9"/>
    <w:basedOn w:val="1"/>
    <w:next w:val="3"/>
    <w:unhideWhenUsed/>
    <w:qFormat/>
    <w:uiPriority w:val="9"/>
    <w:pPr>
      <w:keepNext/>
      <w:keepLines/>
      <w:spacing w:before="200" w:after="0"/>
      <w:outlineLvl w:val="8"/>
    </w:pPr>
    <w:rPr>
      <w:rFonts w:ascii="Times New Roman" w:hAnsi="Times New Roman" w:eastAsiaTheme="majorEastAsia" w:cstheme="majorBidi"/>
      <w:color w:val="4F81BD" w:themeColor="accent1"/>
      <w:sz w:val="20"/>
    </w:rPr>
  </w:style>
  <w:style w:type="character" w:default="1" w:styleId="12">
    <w:name w:val="Default Paragraph Font"/>
    <w:semiHidden/>
    <w:unhideWhenUsed/>
    <w:qFormat/>
    <w:uiPriority w:val="0"/>
  </w:style>
  <w:style w:type="table" w:default="1" w:styleId="13">
    <w:name w:val="Normal Table"/>
    <w:qFormat/>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5">
    <w:name w:val="caption"/>
    <w:basedOn w:val="1"/>
    <w:next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paragraph" w:styleId="20">
    <w:name w:val="header"/>
    <w:basedOn w:val="1"/>
    <w:qFormat/>
    <w:uiPriority w:val="0"/>
    <w:pPr>
      <w:tabs>
        <w:tab w:val="center" w:pos="4153"/>
        <w:tab w:val="right" w:pos="8306"/>
      </w:tabs>
      <w:snapToGrid w:val="0"/>
    </w:pPr>
    <w:rPr>
      <w:sz w:val="20"/>
      <w:szCs w:val="18"/>
    </w:rPr>
  </w:style>
  <w:style w:type="character" w:styleId="21">
    <w:name w:val="Hyperlink"/>
    <w:basedOn w:val="18"/>
    <w:qFormat/>
    <w:uiPriority w:val="0"/>
    <w:rPr>
      <w:color w:val="4F81BD" w:themeColor="accent1"/>
    </w:rPr>
  </w:style>
  <w:style w:type="paragraph" w:styleId="22">
    <w:name w:val="Subtitle"/>
    <w:basedOn w:val="23"/>
    <w:next w:val="3"/>
    <w:qFormat/>
    <w:uiPriority w:val="0"/>
    <w:pPr>
      <w:keepNext/>
      <w:keepLines/>
      <w:spacing w:before="240" w:after="240"/>
      <w:jc w:val="center"/>
    </w:pPr>
    <w:rPr>
      <w:rFonts w:ascii="Times New Roman" w:hAnsi="Times New Roman"/>
      <w:sz w:val="20"/>
      <w:szCs w:val="30"/>
    </w:rPr>
  </w:style>
  <w:style w:type="paragraph" w:styleId="23">
    <w:name w:val="Title"/>
    <w:basedOn w:val="1"/>
    <w:next w:val="3"/>
    <w:qFormat/>
    <w:uiPriority w:val="0"/>
    <w:pPr>
      <w:keepNext/>
      <w:keepLines/>
      <w:spacing w:before="480" w:after="240"/>
      <w:jc w:val="left"/>
    </w:pPr>
    <w:rPr>
      <w:rFonts w:ascii="Times New Roman" w:hAnsi="Times New Roman" w:eastAsiaTheme="majorEastAsia" w:cstheme="majorBidi"/>
      <w:b/>
      <w:bCs/>
      <w:color w:val="335B8A" w:themeColor="accent1" w:themeShade="B5"/>
      <w:sz w:val="20"/>
      <w:szCs w:val="36"/>
    </w:rPr>
  </w:style>
  <w:style w:type="paragraph" w:styleId="24">
    <w:name w:val="toa heading"/>
    <w:basedOn w:val="1"/>
    <w:next w:val="1"/>
    <w:qFormat/>
    <w:uiPriority w:val="0"/>
    <w:pPr>
      <w:spacing w:before="120"/>
    </w:pPr>
    <w:rPr>
      <w:rFonts w:ascii="Times New Roman" w:hAnsi="Times New Roman" w:cs="Arial"/>
      <w:sz w:val="20"/>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Ascii" w:hAnsiTheme="minorAscii" w:eastAsiaTheme="minorEastAsia" w:cstheme="minorBidi"/>
      <w:sz w:val="20"/>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5"/>
    <w:qFormat/>
    <w:uiPriority w:val="0"/>
    <w:pPr>
      <w:keepNext/>
    </w:pPr>
  </w:style>
  <w:style w:type="paragraph" w:customStyle="1" w:styleId="34">
    <w:name w:val="Image Caption"/>
    <w:basedOn w:val="15"/>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18"/>
    <w:link w:val="38"/>
    <w:qFormat/>
    <w:uiPriority w:val="0"/>
    <w:rPr>
      <w:rFonts w:ascii="Consolas" w:hAnsi="Consolas"/>
      <w:sz w:val="22"/>
    </w:rPr>
  </w:style>
  <w:style w:type="paragraph" w:customStyle="1" w:styleId="38">
    <w:name w:val="Source Code"/>
    <w:basedOn w:val="1"/>
    <w:link w:val="37"/>
    <w:qFormat/>
    <w:uiPriority w:val="0"/>
    <w:pPr>
      <w:shd w:val="clear" w:fill="F8F8F8"/>
      <w:wordWrap w:val="0"/>
    </w:pPr>
  </w:style>
  <w:style w:type="paragraph" w:customStyle="1" w:styleId="39">
    <w:name w:val="TOC Heading"/>
    <w:basedOn w:val="2"/>
    <w:next w:val="3"/>
    <w:unhideWhenUsed/>
    <w:qFormat/>
    <w:uiPriority w:val="39"/>
    <w:pPr>
      <w:spacing w:before="240" w:line="259" w:lineRule="auto"/>
      <w:outlineLvl w:val="9"/>
    </w:pPr>
    <w:rPr>
      <w:rFonts w:ascii="Times New Roman" w:hAnsi="Times New Roman"/>
      <w:b w:val="0"/>
      <w:bCs w:val="0"/>
      <w:color w:val="366091" w:themeColor="accent1" w:themeShade="BF"/>
      <w:sz w:val="20"/>
    </w:rPr>
  </w:style>
  <w:style w:type="character" w:customStyle="1" w:styleId="40">
    <w:name w:val="KeywordTok"/>
    <w:basedOn w:val="37"/>
    <w:qFormat/>
    <w:uiPriority w:val="0"/>
    <w:rPr>
      <w:b/>
      <w:color w:val="204A87"/>
      <w:shd w:val="clear" w:fill="F8F8F8"/>
    </w:rPr>
  </w:style>
  <w:style w:type="character" w:customStyle="1" w:styleId="41">
    <w:name w:val="DataTypeTok"/>
    <w:basedOn w:val="37"/>
    <w:qFormat/>
    <w:uiPriority w:val="0"/>
    <w:rPr>
      <w:color w:val="204A87"/>
      <w:shd w:val="clear" w:fill="F8F8F8"/>
    </w:rPr>
  </w:style>
  <w:style w:type="character" w:customStyle="1" w:styleId="42">
    <w:name w:val="DecValTok"/>
    <w:basedOn w:val="37"/>
    <w:qFormat/>
    <w:uiPriority w:val="0"/>
    <w:rPr>
      <w:color w:val="0000CF"/>
      <w:shd w:val="clear" w:fill="F8F8F8"/>
    </w:rPr>
  </w:style>
  <w:style w:type="character" w:customStyle="1" w:styleId="43">
    <w:name w:val="BaseNTok"/>
    <w:basedOn w:val="37"/>
    <w:qFormat/>
    <w:uiPriority w:val="0"/>
    <w:rPr>
      <w:color w:val="0000CF"/>
      <w:shd w:val="clear" w:fill="F8F8F8"/>
    </w:rPr>
  </w:style>
  <w:style w:type="character" w:customStyle="1" w:styleId="44">
    <w:name w:val="FloatTok"/>
    <w:basedOn w:val="37"/>
    <w:qFormat/>
    <w:uiPriority w:val="0"/>
    <w:rPr>
      <w:color w:val="0000CF"/>
      <w:shd w:val="clear" w:fill="F8F8F8"/>
    </w:rPr>
  </w:style>
  <w:style w:type="character" w:customStyle="1" w:styleId="45">
    <w:name w:val="ConstantTok"/>
    <w:basedOn w:val="37"/>
    <w:qFormat/>
    <w:uiPriority w:val="0"/>
    <w:rPr>
      <w:color w:val="000000"/>
      <w:shd w:val="clear" w:fill="F8F8F8"/>
    </w:rPr>
  </w:style>
  <w:style w:type="character" w:customStyle="1" w:styleId="46">
    <w:name w:val="CharTok"/>
    <w:basedOn w:val="37"/>
    <w:qFormat/>
    <w:uiPriority w:val="0"/>
    <w:rPr>
      <w:color w:val="4E9A06"/>
      <w:shd w:val="clear" w:fill="F8F8F8"/>
    </w:rPr>
  </w:style>
  <w:style w:type="character" w:customStyle="1" w:styleId="47">
    <w:name w:val="SpecialCharTok"/>
    <w:basedOn w:val="37"/>
    <w:qFormat/>
    <w:uiPriority w:val="0"/>
    <w:rPr>
      <w:color w:val="000000"/>
      <w:shd w:val="clear" w:fill="F8F8F8"/>
    </w:rPr>
  </w:style>
  <w:style w:type="character" w:customStyle="1" w:styleId="48">
    <w:name w:val="StringTok"/>
    <w:basedOn w:val="37"/>
    <w:qFormat/>
    <w:uiPriority w:val="0"/>
    <w:rPr>
      <w:color w:val="4E9A06"/>
      <w:shd w:val="clear" w:fill="F8F8F8"/>
    </w:rPr>
  </w:style>
  <w:style w:type="character" w:customStyle="1" w:styleId="49">
    <w:name w:val="VerbatimStringTok"/>
    <w:basedOn w:val="37"/>
    <w:qFormat/>
    <w:uiPriority w:val="0"/>
    <w:rPr>
      <w:color w:val="4E9A06"/>
      <w:shd w:val="clear" w:fill="F8F8F8"/>
    </w:rPr>
  </w:style>
  <w:style w:type="character" w:customStyle="1" w:styleId="50">
    <w:name w:val="SpecialStringTok"/>
    <w:basedOn w:val="37"/>
    <w:qFormat/>
    <w:uiPriority w:val="0"/>
    <w:rPr>
      <w:color w:val="4E9A06"/>
      <w:shd w:val="clear" w:fill="F8F8F8"/>
    </w:rPr>
  </w:style>
  <w:style w:type="character" w:customStyle="1" w:styleId="51">
    <w:name w:val="ImportTok"/>
    <w:basedOn w:val="37"/>
    <w:qFormat/>
    <w:uiPriority w:val="0"/>
    <w:rPr>
      <w:shd w:val="clear" w:fill="F8F8F8"/>
    </w:rPr>
  </w:style>
  <w:style w:type="character" w:customStyle="1" w:styleId="52">
    <w:name w:val="CommentTok"/>
    <w:basedOn w:val="37"/>
    <w:qFormat/>
    <w:uiPriority w:val="0"/>
    <w:rPr>
      <w:i/>
      <w:color w:val="8F5902"/>
      <w:shd w:val="clear" w:fill="F8F8F8"/>
    </w:rPr>
  </w:style>
  <w:style w:type="character" w:customStyle="1" w:styleId="53">
    <w:name w:val="DocumentationTok"/>
    <w:basedOn w:val="37"/>
    <w:qFormat/>
    <w:uiPriority w:val="0"/>
    <w:rPr>
      <w:b/>
      <w:i/>
      <w:color w:val="8F5902"/>
      <w:shd w:val="clear" w:fill="F8F8F8"/>
    </w:rPr>
  </w:style>
  <w:style w:type="character" w:customStyle="1" w:styleId="54">
    <w:name w:val="AnnotationTok"/>
    <w:basedOn w:val="37"/>
    <w:qFormat/>
    <w:uiPriority w:val="0"/>
    <w:rPr>
      <w:b/>
      <w:i/>
      <w:color w:val="8F5902"/>
      <w:shd w:val="clear" w:fill="F8F8F8"/>
    </w:rPr>
  </w:style>
  <w:style w:type="character" w:customStyle="1" w:styleId="55">
    <w:name w:val="CommentVarTok"/>
    <w:basedOn w:val="37"/>
    <w:qFormat/>
    <w:uiPriority w:val="0"/>
    <w:rPr>
      <w:b/>
      <w:i/>
      <w:color w:val="8F5902"/>
      <w:shd w:val="clear" w:fill="F8F8F8"/>
    </w:rPr>
  </w:style>
  <w:style w:type="character" w:customStyle="1" w:styleId="56">
    <w:name w:val="OtherTok"/>
    <w:basedOn w:val="37"/>
    <w:qFormat/>
    <w:uiPriority w:val="0"/>
    <w:rPr>
      <w:color w:val="8F5902"/>
      <w:shd w:val="clear" w:fill="F8F8F8"/>
    </w:rPr>
  </w:style>
  <w:style w:type="character" w:customStyle="1" w:styleId="57">
    <w:name w:val="FunctionTok"/>
    <w:basedOn w:val="37"/>
    <w:qFormat/>
    <w:uiPriority w:val="0"/>
    <w:rPr>
      <w:color w:val="000000"/>
      <w:shd w:val="clear" w:fill="F8F8F8"/>
    </w:rPr>
  </w:style>
  <w:style w:type="character" w:customStyle="1" w:styleId="58">
    <w:name w:val="VariableTok"/>
    <w:basedOn w:val="37"/>
    <w:qFormat/>
    <w:uiPriority w:val="0"/>
    <w:rPr>
      <w:color w:val="000000"/>
      <w:shd w:val="clear" w:fill="F8F8F8"/>
    </w:rPr>
  </w:style>
  <w:style w:type="character" w:customStyle="1" w:styleId="59">
    <w:name w:val="ControlFlowTok"/>
    <w:basedOn w:val="37"/>
    <w:qFormat/>
    <w:uiPriority w:val="0"/>
    <w:rPr>
      <w:b/>
      <w:color w:val="204A87"/>
      <w:shd w:val="clear" w:fill="F8F8F8"/>
    </w:rPr>
  </w:style>
  <w:style w:type="character" w:customStyle="1" w:styleId="60">
    <w:name w:val="OperatorTok"/>
    <w:basedOn w:val="37"/>
    <w:qFormat/>
    <w:uiPriority w:val="0"/>
    <w:rPr>
      <w:b/>
      <w:color w:val="CE5C00"/>
      <w:shd w:val="clear" w:fill="F8F8F8"/>
    </w:rPr>
  </w:style>
  <w:style w:type="character" w:customStyle="1" w:styleId="61">
    <w:name w:val="BuiltInTok"/>
    <w:basedOn w:val="37"/>
    <w:qFormat/>
    <w:uiPriority w:val="0"/>
    <w:rPr>
      <w:shd w:val="clear" w:fill="F8F8F8"/>
    </w:rPr>
  </w:style>
  <w:style w:type="character" w:customStyle="1" w:styleId="62">
    <w:name w:val="ExtensionTok"/>
    <w:basedOn w:val="37"/>
    <w:qFormat/>
    <w:uiPriority w:val="0"/>
    <w:rPr>
      <w:shd w:val="clear" w:fill="F8F8F8"/>
    </w:rPr>
  </w:style>
  <w:style w:type="character" w:customStyle="1" w:styleId="63">
    <w:name w:val="PreprocessorTok"/>
    <w:basedOn w:val="37"/>
    <w:qFormat/>
    <w:uiPriority w:val="0"/>
    <w:rPr>
      <w:i/>
      <w:color w:val="8F5902"/>
      <w:shd w:val="clear" w:fill="F8F8F8"/>
    </w:rPr>
  </w:style>
  <w:style w:type="character" w:customStyle="1" w:styleId="64">
    <w:name w:val="AttributeTok"/>
    <w:basedOn w:val="37"/>
    <w:qFormat/>
    <w:uiPriority w:val="0"/>
    <w:rPr>
      <w:color w:val="C4A000"/>
      <w:shd w:val="clear" w:fill="F8F8F8"/>
    </w:rPr>
  </w:style>
  <w:style w:type="character" w:customStyle="1" w:styleId="65">
    <w:name w:val="RegionMarkerTok"/>
    <w:basedOn w:val="37"/>
    <w:qFormat/>
    <w:uiPriority w:val="0"/>
    <w:rPr>
      <w:shd w:val="clear" w:fill="F8F8F8"/>
    </w:rPr>
  </w:style>
  <w:style w:type="character" w:customStyle="1" w:styleId="66">
    <w:name w:val="InformationTok"/>
    <w:basedOn w:val="37"/>
    <w:qFormat/>
    <w:uiPriority w:val="0"/>
    <w:rPr>
      <w:b/>
      <w:i/>
      <w:color w:val="8F5902"/>
      <w:shd w:val="clear" w:fill="F8F8F8"/>
    </w:rPr>
  </w:style>
  <w:style w:type="character" w:customStyle="1" w:styleId="67">
    <w:name w:val="WarningTok"/>
    <w:basedOn w:val="37"/>
    <w:qFormat/>
    <w:uiPriority w:val="0"/>
    <w:rPr>
      <w:b/>
      <w:i/>
      <w:color w:val="8F5902"/>
      <w:shd w:val="clear" w:fill="F8F8F8"/>
    </w:rPr>
  </w:style>
  <w:style w:type="character" w:customStyle="1" w:styleId="68">
    <w:name w:val="AlertTok"/>
    <w:basedOn w:val="37"/>
    <w:qFormat/>
    <w:uiPriority w:val="0"/>
    <w:rPr>
      <w:color w:val="EF2929"/>
      <w:shd w:val="clear" w:fill="F8F8F8"/>
    </w:rPr>
  </w:style>
  <w:style w:type="character" w:customStyle="1" w:styleId="69">
    <w:name w:val="ErrorTok"/>
    <w:basedOn w:val="37"/>
    <w:qFormat/>
    <w:uiPriority w:val="0"/>
    <w:rPr>
      <w:b/>
      <w:color w:val="A40000"/>
      <w:shd w:val="clear" w:fill="F8F8F8"/>
    </w:rPr>
  </w:style>
  <w:style w:type="character" w:customStyle="1" w:styleId="70">
    <w:name w:val="NormalTok"/>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38</TotalTime>
  <ScaleCrop>false</ScaleCrop>
  <LinksUpToDate>false</LinksUpToDate>
  <CharactersWithSpaces>583</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2020-10-15T18:48:00Z</dcterms:created>
  <dc:creator>author</dc:creator>
  <cp:lastModifiedBy>AI</cp:lastModifiedBy>
  <dcterms:modified xsi:type="dcterms:W3CDTF">2020-10-22T17:01:28Z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KSOProductBuildVer">
    <vt:lpwstr>1033-11.1.0.9662</vt:lpwstr>
  </property>
</Properties>
</file>