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AA2041E" w14:textId="77777777" w:rsidR="00B223DC" w:rsidRPr="005F63D1" w:rsidRDefault="00B223DC" w:rsidP="00B223DC">
      <w:pPr>
        <w:ind w:left="720" w:hanging="360"/>
        <w:rPr>
          <w:rFonts w:ascii="Charter" w:hAnsi="Charter"/>
        </w:rPr>
      </w:pPr>
      <w:bookmarkStart w:id="0" w:name="_GoBack"/>
      <w:bookmarkEnd w:id="0"/>
    </w:p>
    <w:p w14:paraId="0F59434B" w14:textId="77777777" w:rsidR="00051876" w:rsidRDefault="00051876" w:rsidP="002D33AA">
      <w:pPr>
        <w:pStyle w:val="Body"/>
        <w:jc w:val="center"/>
        <w:rPr>
          <w:rFonts w:ascii="Charter" w:hAnsi="Charter"/>
          <w:b/>
          <w:sz w:val="24"/>
          <w:szCs w:val="24"/>
        </w:rPr>
      </w:pPr>
    </w:p>
    <w:p w14:paraId="4484D97A" w14:textId="4BDD9992" w:rsidR="00B223DC" w:rsidRPr="002D33AA" w:rsidRDefault="00B223DC" w:rsidP="002D33AA">
      <w:pPr>
        <w:pStyle w:val="Body"/>
        <w:jc w:val="center"/>
        <w:rPr>
          <w:rFonts w:ascii="Charter" w:hAnsi="Charter"/>
          <w:b/>
          <w:sz w:val="24"/>
          <w:szCs w:val="24"/>
        </w:rPr>
      </w:pPr>
      <w:r w:rsidRPr="002D33AA">
        <w:rPr>
          <w:rFonts w:ascii="Charter" w:hAnsi="Charter"/>
          <w:b/>
          <w:sz w:val="24"/>
          <w:szCs w:val="24"/>
        </w:rPr>
        <w:t>The role of adiponectin, TNF-α and glutathione in the pathogenesis and evolution of type 1 diabetes</w:t>
      </w:r>
    </w:p>
    <w:p w14:paraId="52110AC5" w14:textId="6E775222" w:rsidR="00467AC0" w:rsidRDefault="00467AC0" w:rsidP="00B223DC">
      <w:pPr>
        <w:pStyle w:val="Body"/>
        <w:rPr>
          <w:rFonts w:ascii="Charter" w:hAnsi="Charter"/>
        </w:rPr>
      </w:pPr>
    </w:p>
    <w:p w14:paraId="7296E3E6" w14:textId="77777777" w:rsidR="00051876" w:rsidRPr="005F63D1" w:rsidRDefault="00051876" w:rsidP="00B223DC">
      <w:pPr>
        <w:pStyle w:val="Body"/>
        <w:rPr>
          <w:rFonts w:ascii="Charter" w:hAnsi="Charter"/>
        </w:rPr>
      </w:pPr>
    </w:p>
    <w:p w14:paraId="278FEF61" w14:textId="6D81523E" w:rsidR="00482C93" w:rsidRPr="00482C93" w:rsidRDefault="0074588C" w:rsidP="00482C93">
      <w:pPr>
        <w:pStyle w:val="NormalWeb"/>
        <w:rPr>
          <w:rFonts w:ascii="Charter" w:hAnsi="Charter"/>
        </w:rPr>
      </w:pPr>
      <w:r>
        <w:rPr>
          <w:rFonts w:ascii="TimesNewRomanPSMT" w:hAnsi="TimesNewRomanPSMT"/>
        </w:rPr>
        <w:t>Csilla Enikő Szabo</w:t>
      </w:r>
      <w:r w:rsidR="00482C93">
        <w:rPr>
          <w:rFonts w:ascii="TimesNewRomanPSMT" w:hAnsi="TimesNewRomanPSMT"/>
          <w:position w:val="8"/>
          <w:sz w:val="14"/>
          <w:szCs w:val="14"/>
        </w:rPr>
        <w:t>1</w:t>
      </w:r>
      <w:r w:rsidR="00453AC3">
        <w:rPr>
          <w:rFonts w:ascii="TimesNewRomanPSMT" w:hAnsi="TimesNewRomanPSMT"/>
          <w:position w:val="8"/>
          <w:sz w:val="14"/>
          <w:szCs w:val="14"/>
        </w:rPr>
        <w:t>,2</w:t>
      </w:r>
      <w:r w:rsidR="00677BC3" w:rsidRPr="005F63D1">
        <w:rPr>
          <w:rFonts w:ascii="Charter" w:hAnsi="Charter"/>
        </w:rPr>
        <w:t>, Roxana Flavia Ilieș</w:t>
      </w:r>
      <w:r w:rsidR="00453AC3">
        <w:rPr>
          <w:rFonts w:ascii="Charter" w:hAnsi="Charter"/>
          <w:vertAlign w:val="superscript"/>
        </w:rPr>
        <w:t>3</w:t>
      </w:r>
      <w:r w:rsidR="00677BC3" w:rsidRPr="005F63D1">
        <w:rPr>
          <w:rFonts w:ascii="Charter" w:hAnsi="Charter"/>
        </w:rPr>
        <w:t>, Casian Simon Aioanei</w:t>
      </w:r>
      <w:r w:rsidR="00453AC3">
        <w:rPr>
          <w:rFonts w:ascii="Charter" w:hAnsi="Charter"/>
          <w:vertAlign w:val="superscript"/>
        </w:rPr>
        <w:t>3</w:t>
      </w:r>
      <w:r w:rsidR="00677BC3" w:rsidRPr="005F63D1">
        <w:rPr>
          <w:rFonts w:ascii="Charter" w:hAnsi="Charter"/>
        </w:rPr>
        <w:t>, Andreea Catana</w:t>
      </w:r>
      <w:r w:rsidR="00453AC3">
        <w:rPr>
          <w:rFonts w:ascii="Charter" w:hAnsi="Charter"/>
          <w:vertAlign w:val="superscript"/>
        </w:rPr>
        <w:t>3</w:t>
      </w:r>
      <w:r w:rsidR="00482C93">
        <w:rPr>
          <w:rFonts w:ascii="Charter" w:hAnsi="Charter"/>
        </w:rPr>
        <w:t xml:space="preserve">, </w:t>
      </w:r>
      <w:r w:rsidR="00B4752E">
        <w:rPr>
          <w:rFonts w:ascii="Charter" w:hAnsi="Charter"/>
        </w:rPr>
        <w:t>Victoria Creț</w:t>
      </w:r>
      <w:r w:rsidR="00453AC3">
        <w:rPr>
          <w:rFonts w:ascii="Charter" w:hAnsi="Charter"/>
          <w:vertAlign w:val="superscript"/>
        </w:rPr>
        <w:t>2</w:t>
      </w:r>
      <w:r w:rsidR="00B4752E">
        <w:rPr>
          <w:rFonts w:ascii="Charter" w:hAnsi="Charter"/>
        </w:rPr>
        <w:t xml:space="preserve">, </w:t>
      </w:r>
      <w:r w:rsidR="00482C93">
        <w:rPr>
          <w:rFonts w:ascii="TimesNewRomanPSMT" w:hAnsi="TimesNewRomanPSMT"/>
        </w:rPr>
        <w:t xml:space="preserve">Radu Sorin </w:t>
      </w:r>
      <w:proofErr w:type="spellStart"/>
      <w:r w:rsidR="00482C93">
        <w:rPr>
          <w:rFonts w:ascii="TimesNewRomanPSMT" w:hAnsi="TimesNewRomanPSMT"/>
        </w:rPr>
        <w:t>Șerban</w:t>
      </w:r>
      <w:proofErr w:type="spellEnd"/>
      <w:r w:rsidR="00482C93">
        <w:rPr>
          <w:rFonts w:ascii="TimesNewRomanPSMT" w:hAnsi="TimesNewRomanPSMT"/>
          <w:position w:val="8"/>
          <w:sz w:val="14"/>
          <w:szCs w:val="14"/>
        </w:rPr>
        <w:t>1</w:t>
      </w:r>
      <w:r w:rsidR="00453AC3">
        <w:rPr>
          <w:rFonts w:ascii="TimesNewRomanPSMT" w:hAnsi="TimesNewRomanPSMT"/>
          <w:position w:val="8"/>
          <w:sz w:val="14"/>
          <w:szCs w:val="14"/>
        </w:rPr>
        <w:t>,2</w:t>
      </w:r>
      <w:r w:rsidR="00492674">
        <w:rPr>
          <w:rFonts w:ascii="Charter" w:hAnsi="Charter"/>
        </w:rPr>
        <w:t xml:space="preserve">, </w:t>
      </w:r>
      <w:r w:rsidR="00492674">
        <w:rPr>
          <w:rFonts w:ascii="TimesNewRomanPSMT" w:hAnsi="TimesNewRomanPSMT"/>
          <w:position w:val="8"/>
          <w:sz w:val="14"/>
          <w:szCs w:val="14"/>
        </w:rPr>
        <w:t xml:space="preserve"> </w:t>
      </w:r>
      <w:proofErr w:type="spellStart"/>
      <w:r w:rsidR="00492674">
        <w:rPr>
          <w:rFonts w:ascii="Charter" w:hAnsi="Charter"/>
        </w:rPr>
        <w:t>Io</w:t>
      </w:r>
      <w:r w:rsidR="00551667">
        <w:rPr>
          <w:rFonts w:ascii="Charter" w:hAnsi="Charter"/>
        </w:rPr>
        <w:t>a</w:t>
      </w:r>
      <w:r w:rsidR="00492674">
        <w:rPr>
          <w:rFonts w:ascii="Charter" w:hAnsi="Charter"/>
        </w:rPr>
        <w:t>n</w:t>
      </w:r>
      <w:proofErr w:type="spellEnd"/>
      <w:r w:rsidR="00492674">
        <w:rPr>
          <w:rFonts w:ascii="Charter" w:hAnsi="Charter"/>
        </w:rPr>
        <w:t xml:space="preserve"> Pop Victor</w:t>
      </w:r>
      <w:r w:rsidR="00453AC3">
        <w:rPr>
          <w:rFonts w:ascii="Charter" w:hAnsi="Charter"/>
          <w:vertAlign w:val="superscript"/>
        </w:rPr>
        <w:t>3</w:t>
      </w:r>
      <w:r w:rsidR="00492674">
        <w:rPr>
          <w:rFonts w:ascii="Charter" w:hAnsi="Charter"/>
        </w:rPr>
        <w:t xml:space="preserve">, </w:t>
      </w:r>
    </w:p>
    <w:p w14:paraId="3B023314" w14:textId="038578A7" w:rsidR="0003444C" w:rsidRPr="0074588C" w:rsidRDefault="0003444C" w:rsidP="0074588C">
      <w:pPr>
        <w:pStyle w:val="NormalWeb"/>
      </w:pPr>
    </w:p>
    <w:p w14:paraId="5061DD75" w14:textId="591EA9D9" w:rsidR="00051876" w:rsidRPr="00767055" w:rsidRDefault="00482C93" w:rsidP="00051876">
      <w:pPr>
        <w:pStyle w:val="NormalWeb"/>
        <w:numPr>
          <w:ilvl w:val="0"/>
          <w:numId w:val="2"/>
        </w:numPr>
        <w:spacing w:line="360" w:lineRule="auto"/>
        <w:rPr>
          <w:rFonts w:ascii="Charter Roman" w:hAnsi="Charter Roman"/>
        </w:rPr>
      </w:pPr>
      <w:r w:rsidRPr="00767055">
        <w:rPr>
          <w:rFonts w:ascii="Charter Roman" w:hAnsi="Charter Roman"/>
        </w:rPr>
        <w:t xml:space="preserve">Department of Pediatrics I, Iuliu Hațieganu University of Medicine and Pharmacy, Cluj-Napoca, Romania </w:t>
      </w:r>
    </w:p>
    <w:p w14:paraId="76FC65E2" w14:textId="77777777" w:rsidR="00051876" w:rsidRPr="00767055" w:rsidRDefault="00482C93" w:rsidP="00051876">
      <w:pPr>
        <w:pStyle w:val="NormalWeb"/>
        <w:numPr>
          <w:ilvl w:val="0"/>
          <w:numId w:val="2"/>
        </w:numPr>
        <w:spacing w:line="360" w:lineRule="auto"/>
        <w:rPr>
          <w:rFonts w:ascii="Charter Roman" w:hAnsi="Charter Roman"/>
        </w:rPr>
      </w:pPr>
      <w:r w:rsidRPr="00767055">
        <w:rPr>
          <w:rFonts w:ascii="Charter Roman" w:hAnsi="Charter Roman"/>
        </w:rPr>
        <w:t>Pediatric Clinic I, Pediatric Emergency Hospital, Cluj-Napoca, Romania</w:t>
      </w:r>
    </w:p>
    <w:p w14:paraId="7B7ACC49" w14:textId="41D1F956" w:rsidR="008F7583" w:rsidRPr="00767055" w:rsidRDefault="0003444C" w:rsidP="008F7583">
      <w:pPr>
        <w:pStyle w:val="NormalWeb"/>
        <w:numPr>
          <w:ilvl w:val="0"/>
          <w:numId w:val="2"/>
        </w:numPr>
        <w:spacing w:line="360" w:lineRule="auto"/>
        <w:rPr>
          <w:rFonts w:ascii="Charter Roman" w:hAnsi="Charter Roman"/>
        </w:rPr>
      </w:pPr>
      <w:r w:rsidRPr="00767055">
        <w:rPr>
          <w:rFonts w:ascii="Charter" w:hAnsi="Charter"/>
        </w:rPr>
        <w:t>Department of Medical Genetics, Iuliu Hațieganu University of Medicine and Pharmacy</w:t>
      </w:r>
      <w:r w:rsidR="00767055" w:rsidRPr="00767055">
        <w:rPr>
          <w:rFonts w:ascii="Charter" w:hAnsi="Charter"/>
        </w:rPr>
        <w:t>,</w:t>
      </w:r>
      <w:r w:rsidRPr="00767055">
        <w:rPr>
          <w:rFonts w:ascii="Charter" w:hAnsi="Charter"/>
        </w:rPr>
        <w:t xml:space="preserve"> Cluj Napoca</w:t>
      </w:r>
      <w:r w:rsidR="00F15B5C" w:rsidRPr="00767055">
        <w:rPr>
          <w:rFonts w:ascii="Charter" w:hAnsi="Charter"/>
        </w:rPr>
        <w:t>, Romania</w:t>
      </w:r>
    </w:p>
    <w:p w14:paraId="2F2E25EE" w14:textId="53FFD779" w:rsidR="0003444C" w:rsidRPr="005F63D1" w:rsidRDefault="0003444C" w:rsidP="0003444C">
      <w:pPr>
        <w:pStyle w:val="Body"/>
        <w:ind w:firstLine="360"/>
        <w:rPr>
          <w:rFonts w:ascii="Charter" w:hAnsi="Charter"/>
        </w:rPr>
      </w:pPr>
      <w:r w:rsidRPr="005F63D1">
        <w:rPr>
          <w:rFonts w:ascii="Charter" w:hAnsi="Charter"/>
        </w:rPr>
        <w:t>Keywords: adiponectin, TNF-α, glutathion, pcr-rflp, multiplex, type 1 diabetes</w:t>
      </w:r>
    </w:p>
    <w:p w14:paraId="64303B6C" w14:textId="36B98A92" w:rsidR="0003444C" w:rsidRDefault="0003444C" w:rsidP="0003444C">
      <w:pPr>
        <w:pStyle w:val="Body"/>
        <w:ind w:firstLine="360"/>
        <w:rPr>
          <w:rFonts w:ascii="Charter" w:hAnsi="Charter"/>
        </w:rPr>
      </w:pPr>
    </w:p>
    <w:p w14:paraId="0705C1AF" w14:textId="77777777" w:rsidR="008F7583" w:rsidRPr="005F63D1" w:rsidRDefault="008F7583" w:rsidP="0003444C">
      <w:pPr>
        <w:pStyle w:val="Body"/>
        <w:ind w:firstLine="360"/>
        <w:rPr>
          <w:rFonts w:ascii="Charter" w:hAnsi="Charter"/>
        </w:rPr>
      </w:pPr>
    </w:p>
    <w:p w14:paraId="456014F8" w14:textId="08F24ACB" w:rsidR="0003444C" w:rsidRPr="009E0882" w:rsidRDefault="0003444C" w:rsidP="0003444C">
      <w:pPr>
        <w:pStyle w:val="Body"/>
        <w:ind w:firstLine="360"/>
        <w:rPr>
          <w:rFonts w:ascii="Charter" w:hAnsi="Charter"/>
          <w:b/>
        </w:rPr>
      </w:pPr>
      <w:r w:rsidRPr="009E0882">
        <w:rPr>
          <w:rFonts w:ascii="Charter" w:hAnsi="Charter"/>
          <w:b/>
        </w:rPr>
        <w:t>Abstract</w:t>
      </w:r>
    </w:p>
    <w:p w14:paraId="522C0A5D" w14:textId="77777777" w:rsidR="009E0882" w:rsidRPr="005F63D1" w:rsidRDefault="009E0882" w:rsidP="0003444C">
      <w:pPr>
        <w:pStyle w:val="Body"/>
        <w:ind w:firstLine="360"/>
        <w:rPr>
          <w:rFonts w:ascii="Charter" w:hAnsi="Charter"/>
        </w:rPr>
      </w:pPr>
    </w:p>
    <w:p w14:paraId="2C02EFB3" w14:textId="77777777" w:rsidR="0003444C" w:rsidRPr="005F63D1" w:rsidRDefault="0003444C" w:rsidP="0003444C">
      <w:pPr>
        <w:pStyle w:val="Body"/>
        <w:ind w:firstLine="360"/>
        <w:rPr>
          <w:rFonts w:ascii="Charter" w:hAnsi="Charter"/>
        </w:rPr>
      </w:pPr>
      <w:r w:rsidRPr="005F63D1">
        <w:rPr>
          <w:rFonts w:ascii="Charter" w:hAnsi="Charter"/>
        </w:rPr>
        <w:t>Introduction</w:t>
      </w:r>
    </w:p>
    <w:p w14:paraId="3797EA59" w14:textId="1EA01716" w:rsidR="00677BC3" w:rsidRPr="005F63D1" w:rsidRDefault="0003444C" w:rsidP="0003444C">
      <w:pPr>
        <w:pStyle w:val="Body"/>
        <w:ind w:firstLine="360"/>
        <w:rPr>
          <w:rFonts w:ascii="Charter" w:hAnsi="Charter"/>
          <w:lang w:val="en-GB"/>
        </w:rPr>
      </w:pPr>
      <w:r w:rsidRPr="005F63D1">
        <w:rPr>
          <w:rFonts w:ascii="Charter" w:hAnsi="Charter"/>
        </w:rPr>
        <w:t xml:space="preserve">Type 1 diabetes is a chronic autoimmune condition, featuring complex and unique </w:t>
      </w:r>
      <w:r w:rsidR="00971195" w:rsidRPr="005F63D1">
        <w:rPr>
          <w:rFonts w:ascii="Charter" w:hAnsi="Charter"/>
        </w:rPr>
        <w:t>interactions between proteins and enzyme systems. The purpose of the present study is to investigate the role of AdipoQ +276G</w:t>
      </w:r>
      <w:r w:rsidR="00971195" w:rsidRPr="005F63D1">
        <w:rPr>
          <w:rFonts w:ascii="Charter" w:hAnsi="Charter"/>
          <w:lang w:val="en-GB"/>
        </w:rPr>
        <w:t xml:space="preserve">&gt;T, TNF-α-308G&gt;A, GSTT1/GSTM1 polymorphic variants in the development of type 1 diabetes. </w:t>
      </w:r>
    </w:p>
    <w:p w14:paraId="4C70A6A6" w14:textId="408C3E0B" w:rsidR="00971195" w:rsidRPr="005F63D1" w:rsidRDefault="00971195" w:rsidP="0003444C">
      <w:pPr>
        <w:pStyle w:val="Body"/>
        <w:ind w:firstLine="360"/>
        <w:rPr>
          <w:rFonts w:ascii="Charter" w:hAnsi="Charter"/>
          <w:lang w:val="en-GB"/>
        </w:rPr>
      </w:pPr>
      <w:r w:rsidRPr="005F63D1">
        <w:rPr>
          <w:rFonts w:ascii="Charter" w:hAnsi="Charter"/>
          <w:lang w:val="en-GB"/>
        </w:rPr>
        <w:t>Materials and methods</w:t>
      </w:r>
    </w:p>
    <w:p w14:paraId="5F34F7BF" w14:textId="0B76BACA" w:rsidR="00AF702D" w:rsidRPr="005F63D1" w:rsidRDefault="00AF702D" w:rsidP="0003444C">
      <w:pPr>
        <w:pStyle w:val="Body"/>
        <w:ind w:firstLine="360"/>
        <w:rPr>
          <w:rFonts w:ascii="Charter" w:hAnsi="Charter"/>
          <w:lang w:val="en-GB"/>
        </w:rPr>
      </w:pPr>
      <w:r w:rsidRPr="005F63D1">
        <w:rPr>
          <w:rFonts w:ascii="Charter" w:hAnsi="Charter"/>
          <w:lang w:val="en-GB"/>
        </w:rPr>
        <w:t xml:space="preserve">The study is designed as a cross sectional study, involving </w:t>
      </w:r>
      <w:r w:rsidR="0056675B">
        <w:rPr>
          <w:rFonts w:ascii="Charter" w:hAnsi="Charter"/>
          <w:lang w:val="en-GB"/>
        </w:rPr>
        <w:t>72</w:t>
      </w:r>
      <w:r w:rsidRPr="005F63D1">
        <w:rPr>
          <w:rFonts w:ascii="Charter" w:hAnsi="Charter"/>
          <w:lang w:val="en-GB"/>
        </w:rPr>
        <w:t xml:space="preserve"> cases and </w:t>
      </w:r>
      <w:r w:rsidR="0056675B">
        <w:rPr>
          <w:rFonts w:ascii="Charter" w:hAnsi="Charter"/>
          <w:lang w:val="en-GB"/>
        </w:rPr>
        <w:t>90</w:t>
      </w:r>
      <w:r w:rsidRPr="005F63D1">
        <w:rPr>
          <w:rFonts w:ascii="Charter" w:hAnsi="Charter"/>
          <w:lang w:val="en-GB"/>
        </w:rPr>
        <w:t xml:space="preserve"> controls. Genotyping was carried out according to specific protocols for the polymorphic variants mentioned. </w:t>
      </w:r>
    </w:p>
    <w:p w14:paraId="23459D61" w14:textId="754B0180" w:rsidR="00AF702D" w:rsidRPr="005F63D1" w:rsidRDefault="00AF702D" w:rsidP="0003444C">
      <w:pPr>
        <w:pStyle w:val="Body"/>
        <w:ind w:firstLine="360"/>
        <w:rPr>
          <w:rFonts w:ascii="Charter" w:hAnsi="Charter"/>
          <w:lang w:val="en-GB"/>
        </w:rPr>
      </w:pPr>
      <w:r w:rsidRPr="005F63D1">
        <w:rPr>
          <w:rFonts w:ascii="Charter" w:hAnsi="Charter"/>
          <w:lang w:val="en-GB"/>
        </w:rPr>
        <w:t>Results</w:t>
      </w:r>
    </w:p>
    <w:p w14:paraId="59858662" w14:textId="7EA2748A" w:rsidR="00AF702D" w:rsidRPr="005F63D1" w:rsidRDefault="00AF702D" w:rsidP="0003444C">
      <w:pPr>
        <w:pStyle w:val="Body"/>
        <w:ind w:firstLine="360"/>
        <w:rPr>
          <w:rFonts w:ascii="Charter" w:hAnsi="Charter"/>
          <w:lang w:val="en-GB"/>
        </w:rPr>
      </w:pPr>
      <w:r w:rsidRPr="005F63D1">
        <w:rPr>
          <w:rFonts w:ascii="Charter" w:hAnsi="Charter"/>
          <w:lang w:val="en-GB"/>
        </w:rPr>
        <w:t>The G allele of AdipoQ was associated with the development of type 1 diabetes</w:t>
      </w:r>
      <w:r w:rsidR="007F337B">
        <w:rPr>
          <w:rFonts w:ascii="Charter" w:hAnsi="Charter"/>
          <w:lang w:val="en-GB"/>
        </w:rPr>
        <w:t xml:space="preserve"> </w:t>
      </w:r>
      <w:r w:rsidRPr="005F63D1">
        <w:rPr>
          <w:rFonts w:ascii="Charter" w:hAnsi="Charter"/>
          <w:lang w:val="en-GB"/>
        </w:rPr>
        <w:t xml:space="preserve">(OR 0.577, CI95% 0.336-0.802, p=0.001), similar to the GG and GA genotypes(OR 0.405, CI95% 0.156-0.654, p=0.001 and OR 0.623, CI95% 0.401-0.855, p=0.004). </w:t>
      </w:r>
      <w:r w:rsidRPr="005F63D1">
        <w:rPr>
          <w:rFonts w:ascii="Charter" w:hAnsi="Charter"/>
          <w:lang w:val="en-GB"/>
        </w:rPr>
        <w:br/>
        <w:t xml:space="preserve">The G allele of TNF-α was marginally associated with the development of type 1 diabetes(OR 0.789 , CI95% 0.579-0.956, p=0.005). </w:t>
      </w:r>
      <w:r w:rsidRPr="005F63D1">
        <w:rPr>
          <w:rFonts w:ascii="Charter" w:hAnsi="Charter"/>
          <w:lang w:val="en-GB"/>
        </w:rPr>
        <w:br/>
        <w:t xml:space="preserve">The presence of the T1 genotype was a strong predictor for type 1 diabetes(OR 3.4, CI95% 1.433-6.243,p&lt;0.001). </w:t>
      </w:r>
    </w:p>
    <w:p w14:paraId="22095FE9" w14:textId="190EF3B9" w:rsidR="00AF702D" w:rsidRPr="005F63D1" w:rsidRDefault="00AF702D" w:rsidP="0003444C">
      <w:pPr>
        <w:pStyle w:val="Body"/>
        <w:ind w:firstLine="360"/>
        <w:rPr>
          <w:rFonts w:ascii="Charter" w:hAnsi="Charter"/>
          <w:lang w:val="en-GB"/>
        </w:rPr>
      </w:pPr>
      <w:r w:rsidRPr="005F63D1">
        <w:rPr>
          <w:rFonts w:ascii="Charter" w:hAnsi="Charter"/>
          <w:lang w:val="en-GB"/>
        </w:rPr>
        <w:t>Conclusions</w:t>
      </w:r>
    </w:p>
    <w:p w14:paraId="6DA8C8A9" w14:textId="39A94870" w:rsidR="00AF702D" w:rsidRPr="005F63D1" w:rsidRDefault="00AF702D" w:rsidP="0003444C">
      <w:pPr>
        <w:pStyle w:val="Body"/>
        <w:ind w:firstLine="360"/>
        <w:rPr>
          <w:rFonts w:ascii="Charter" w:hAnsi="Charter"/>
          <w:lang w:val="en-GB"/>
        </w:rPr>
      </w:pPr>
      <w:r w:rsidRPr="005F63D1">
        <w:rPr>
          <w:rFonts w:ascii="Charter" w:hAnsi="Charter"/>
          <w:lang w:val="en-GB"/>
        </w:rPr>
        <w:t xml:space="preserve">The G alleles of AdipoQ and TNFα act as a protective factor, while the T1 genotype for GST acts as a risk factor for the development of type 1 diabetes in our study group. </w:t>
      </w:r>
    </w:p>
    <w:p w14:paraId="02854B4F" w14:textId="4EA6D5EA" w:rsidR="0003444C" w:rsidRPr="005F63D1" w:rsidRDefault="0003444C" w:rsidP="00467AC0">
      <w:pPr>
        <w:pStyle w:val="Body"/>
        <w:ind w:firstLine="360"/>
        <w:rPr>
          <w:rFonts w:ascii="Charter" w:hAnsi="Charter"/>
        </w:rPr>
      </w:pPr>
    </w:p>
    <w:p w14:paraId="71693F09" w14:textId="77777777" w:rsidR="0003444C" w:rsidRPr="005F63D1" w:rsidRDefault="0003444C" w:rsidP="00467AC0">
      <w:pPr>
        <w:pStyle w:val="Body"/>
        <w:ind w:firstLine="360"/>
        <w:rPr>
          <w:rFonts w:ascii="Charter" w:hAnsi="Charter"/>
        </w:rPr>
      </w:pPr>
    </w:p>
    <w:p w14:paraId="3BB73777" w14:textId="77777777" w:rsidR="00467AC0" w:rsidRPr="005F63D1" w:rsidRDefault="00467AC0" w:rsidP="00677BC3">
      <w:pPr>
        <w:pStyle w:val="Body"/>
        <w:rPr>
          <w:rFonts w:ascii="Charter" w:hAnsi="Charter"/>
        </w:rPr>
      </w:pPr>
    </w:p>
    <w:p w14:paraId="5A0627AE" w14:textId="0B941D7F" w:rsidR="00B223DC" w:rsidRPr="00AE4E03" w:rsidRDefault="00B223DC" w:rsidP="00B223DC">
      <w:pPr>
        <w:pStyle w:val="Body"/>
        <w:numPr>
          <w:ilvl w:val="0"/>
          <w:numId w:val="1"/>
        </w:numPr>
        <w:rPr>
          <w:rFonts w:ascii="Charter" w:hAnsi="Charter"/>
          <w:b/>
        </w:rPr>
      </w:pPr>
      <w:r w:rsidRPr="00AE4E03">
        <w:rPr>
          <w:rFonts w:ascii="Charter" w:hAnsi="Charter"/>
          <w:b/>
        </w:rPr>
        <w:t>Introduction</w:t>
      </w:r>
    </w:p>
    <w:p w14:paraId="4C3C43F0" w14:textId="77777777" w:rsidR="00AE4E03" w:rsidRPr="005F63D1" w:rsidRDefault="00AE4E03" w:rsidP="00AE4E03">
      <w:pPr>
        <w:pStyle w:val="Body"/>
        <w:ind w:left="720"/>
        <w:rPr>
          <w:rFonts w:ascii="Charter" w:hAnsi="Charter"/>
        </w:rPr>
      </w:pPr>
    </w:p>
    <w:p w14:paraId="392D25C3" w14:textId="77777777" w:rsidR="00B223DC" w:rsidRPr="005F63D1" w:rsidRDefault="00B223DC" w:rsidP="00202A73">
      <w:pPr>
        <w:pStyle w:val="Body"/>
        <w:ind w:left="360"/>
        <w:jc w:val="both"/>
        <w:rPr>
          <w:rFonts w:ascii="Charter" w:hAnsi="Charter"/>
        </w:rPr>
      </w:pPr>
      <w:r w:rsidRPr="005F63D1">
        <w:rPr>
          <w:rFonts w:ascii="Charter" w:hAnsi="Charter"/>
        </w:rPr>
        <w:t xml:space="preserve"> Type 1 diabetes mellitus is a chronic autoimmune disease which targets the β cells of the pancreas, by way of auto-reactive T-cells, pro-inflammatory cytokines, reactive oxygen species and loss of insulin </w:t>
      </w:r>
      <w:r w:rsidR="00D0343D" w:rsidRPr="005F63D1">
        <w:rPr>
          <w:rFonts w:ascii="Charter" w:hAnsi="Charter"/>
        </w:rPr>
        <w:fldChar w:fldCharType="begin" w:fldLock="1"/>
      </w:r>
      <w:r w:rsidR="001625C3" w:rsidRPr="005F63D1">
        <w:rPr>
          <w:rFonts w:ascii="Charter" w:hAnsi="Charter"/>
        </w:rPr>
        <w:instrText>ADDIN CSL_CITATION {"citationItems":[{"id":"ITEM-1","itemData":{"DOI":"10.1080/08916930500407238","ISSN":"0891-6934","PMID":"16390810","abstract":"Type 1 diabetes (T1D) is an autoimmune disease characterized by pancreatic beta cell destruction involving auto-reactive T-cells, pro-inflammatory cytokines, reactive oxygen species (ROS) and loss of insulin. Monozygotic twin studies show a 20-60% concordance with T1D indicating there may be an environmental component to the disease. Glutathione (GSH) is the major endogenous antioxidant produced by the cell. GSH participates directly in the neutralization of free radicals and plays a role in the immune response. Glutathione-s-transferases (GSTs) conjugate GSH to free-radicals or xenobiotics. GST activity depletes GSH levels and may either detoxify or enhance the toxicity of a compound. Glutathione-s-transferase mu 1 (GSTM1) and glutathione-s-transferase theta 1 (GSTT1) have polymorphic homozygous deletion (null) genotypes resulting in complete absence of enzyme activity. GSTM1 and GSTT1 null genotypes in Caucasian populations have frequencies of approximately 40-60% and 15-20%, respectively. GST null genotypes have been associated with susceptibility to cancer and protection against chronic pancreatitis. The aim of this study was to investigate associations with GSTM1 and GSTT1 polymorphisms in a group T1D patients and control subjects 0-35 years old who participated in the Combined Swedish Childhood Diabetes Registry and Diabetes Incidence Study (1986-1988). Results show that the presence of the GSTM1 and not the null genotype (OR, 2.13 95% CI, 1.23-3.70, p-value, 0.007, Bonferroni corrected p-value, 0.035) may be a susceptibility factor in T1D 14-20 years old. These results suggest that the GSTM1 null genotype is associated with T1D protection and T1D age-at-onset and that susceptibility to T1D may involve GST conjugation.","author":[{"dropping-particle":"","family":"Bekris","given":"Lynn M.","non-dropping-particle":"","parse-names":false,"suffix":""},{"dropping-particle":"","family":"Shephard","given":"Cindy","non-dropping-particle":"","parse-names":false,"suffix":""},{"dropping-particle":"","family":"Peterson","given":"Morgan","non-dropping-particle":"","parse-names":false,"suffix":""},{"dropping-particle":"","family":"Hoehna","given":"Jana","non-dropping-particle":"","parse-names":false,"suffix":""},{"dropping-particle":"Van","family":"Yserloo","given":"Brian","non-dropping-particle":"","parse-names":false,"suffix":""},{"dropping-particle":"","family":"Rutledge","given":"Elizabeth","non-dropping-particle":"","parse-names":false,"suffix":""},{"dropping-particle":"","family":"Farin","given":"Federico","non-dropping-particle":"","parse-names":false,"suffix":""},{"dropping-particle":"","family":"Kavanagh","given":"Terrance J.","non-dropping-particle":"","parse-names":false,"suffix":""},{"dropping-particle":"","family":"Lernmark","given":"Ake","non-dropping-particle":"","parse-names":false,"suffix":""}],"container-title":"Autoimmunity","id":"ITEM-1","issue":"8","issued":{"date-parts":[["2005","1","7"]]},"page":"567-575","title":"Glutathione-s-transferase M1 and T1 polymorphisms and associations with type 1 diabetes age-at-onset","type":"article-journal","volume":"38"},"uris":["http://www.mendeley.com/documents/?uuid=d5825d98-4a47-37e2-95cd-fd11f4197135"]}],"mendeley":{"formattedCitation":"(1)","plainTextFormattedCitation":"(1)","previouslyFormattedCitation":"(1)"},"properties":{"noteIndex":0},"schema":"https://github.com/citation-style-language/schema/raw/master/csl-citation.json"}</w:instrText>
      </w:r>
      <w:r w:rsidR="00D0343D" w:rsidRPr="005F63D1">
        <w:rPr>
          <w:rFonts w:ascii="Charter" w:hAnsi="Charter"/>
        </w:rPr>
        <w:fldChar w:fldCharType="separate"/>
      </w:r>
      <w:r w:rsidR="00D0343D" w:rsidRPr="005F63D1">
        <w:rPr>
          <w:rFonts w:ascii="Charter" w:hAnsi="Charter"/>
          <w:noProof/>
        </w:rPr>
        <w:t>(1)</w:t>
      </w:r>
      <w:r w:rsidR="00D0343D" w:rsidRPr="005F63D1">
        <w:rPr>
          <w:rFonts w:ascii="Charter" w:hAnsi="Charter"/>
        </w:rPr>
        <w:fldChar w:fldCharType="end"/>
      </w:r>
      <w:r w:rsidR="00D0343D" w:rsidRPr="005F63D1">
        <w:rPr>
          <w:rFonts w:ascii="Charter" w:hAnsi="Charter"/>
        </w:rPr>
        <w:t xml:space="preserve">. These changes bring forth a life-long need of insulin therapy, with important socioeconomical and quality of life </w:t>
      </w:r>
      <w:proofErr w:type="spellStart"/>
      <w:r w:rsidR="00D0343D" w:rsidRPr="005F63D1">
        <w:rPr>
          <w:rFonts w:ascii="Charter" w:hAnsi="Charter"/>
        </w:rPr>
        <w:t>implications.From</w:t>
      </w:r>
      <w:proofErr w:type="spellEnd"/>
      <w:r w:rsidR="00D0343D" w:rsidRPr="005F63D1">
        <w:rPr>
          <w:rFonts w:ascii="Charter" w:hAnsi="Charter"/>
        </w:rPr>
        <w:t xml:space="preserve"> a genetic point of view, type 1 diabetes is </w:t>
      </w:r>
      <w:proofErr w:type="spellStart"/>
      <w:r w:rsidR="00D0343D" w:rsidRPr="005F63D1">
        <w:rPr>
          <w:rFonts w:ascii="Charter" w:hAnsi="Charter"/>
        </w:rPr>
        <w:t>characterised</w:t>
      </w:r>
      <w:proofErr w:type="spellEnd"/>
      <w:r w:rsidR="00D0343D" w:rsidRPr="005F63D1">
        <w:rPr>
          <w:rFonts w:ascii="Charter" w:hAnsi="Charter"/>
        </w:rPr>
        <w:t xml:space="preserve"> by complex and unique interactions between enzyme systems. </w:t>
      </w:r>
    </w:p>
    <w:p w14:paraId="140E84BB" w14:textId="77777777" w:rsidR="00D0343D" w:rsidRPr="005F63D1" w:rsidRDefault="00D112AF" w:rsidP="00202A73">
      <w:pPr>
        <w:pStyle w:val="Body"/>
        <w:ind w:left="360"/>
        <w:jc w:val="both"/>
        <w:rPr>
          <w:rFonts w:ascii="Charter" w:hAnsi="Charter"/>
        </w:rPr>
      </w:pPr>
      <w:r w:rsidRPr="005F63D1">
        <w:rPr>
          <w:rFonts w:ascii="Charter" w:hAnsi="Charter"/>
        </w:rPr>
        <w:lastRenderedPageBreak/>
        <w:t xml:space="preserve">Adiponectin is a </w:t>
      </w:r>
      <w:r w:rsidR="001625C3" w:rsidRPr="005F63D1">
        <w:rPr>
          <w:rFonts w:ascii="Charter" w:hAnsi="Charter"/>
        </w:rPr>
        <w:t xml:space="preserve">plasma protein produced by adipose tissue, with a potential role as an insulin-sensitizing agent </w:t>
      </w:r>
      <w:r w:rsidR="001625C3" w:rsidRPr="005F63D1">
        <w:rPr>
          <w:rFonts w:ascii="Charter" w:hAnsi="Charter"/>
        </w:rPr>
        <w:fldChar w:fldCharType="begin" w:fldLock="1"/>
      </w:r>
      <w:r w:rsidR="001625C3" w:rsidRPr="005F63D1">
        <w:rPr>
          <w:rFonts w:ascii="Charter" w:hAnsi="Charter"/>
        </w:rPr>
        <w:instrText>ADDIN CSL_CITATION {"citationItems":[{"id":"ITEM-1","itemData":{"DOI":"10.2337/DIACARE.25.9.1665","ISSN":"0149-5992","PMID":"12196453","abstract":"Adiponectin, also referred to as Acrp30, AdipoQ, and GBP28, is a plasma protein exclusively produced by adipose tissue and a possible insulin-sensitizing agent (1–6). Serum adiponectin levels are negatively correlated to BMI in healthy individuals and decreased in type 2 diabetic patients (1–6). However, serum adiponectin levels in type 1 diabetes have not been elucidated.\n\nWe examined the serum adiponectin concentrations in 46 type 1 diabetic patients (21 males and 25 females) and compared them with those of BMI-matched healthy control subjects (17 males and 19 females). Mean age was 33 ± 3 and 33 ± 4 years, BMI was 19.8 ± 0.5 and 19.9 ± 0.6 kg/m2, HbA1c level was 9.7± 0.7 and 10.4 ± 0.6%, duration of diabetes was 3.2 ± 0.9 and 3.4 ± 1.3 years, and urinary C-peptide excretion was 18.4 ± 4.3 and 18.0 ± 2.4 μg/day in male and …","author":[{"dropping-particle":"","family":"Imagawa","given":"Akihisa","non-dropping-particle":"","parse-names":false,"suffix":""},{"dropping-particle":"","family":"Funahashi","given":"Tohru","non-dropping-particle":"","parse-names":false,"suffix":""},{"dropping-particle":"","family":"Nakamura","given":"Tadashi","non-dropping-particle":"","parse-names":false,"suffix":""},{"dropping-particle":"","family":"Moriwaki","given":"Makoto","non-dropping-particle":"","parse-names":false,"suffix":""},{"dropping-particle":"","family":"Tanaka","given":"Sachiyo","non-dropping-particle":"","parse-names":false,"suffix":""},{"dropping-particle":"","family":"Nishizawa","given":"Hitoshi","non-dropping-particle":"","parse-names":false,"suffix":""},{"dropping-particle":"","family":"Sayama","given":"Kouichi","non-dropping-particle":"","parse-names":false,"suffix":""},{"dropping-particle":"","family":"Uno","given":"Sae","non-dropping-particle":"","parse-names":false,"suffix":""},{"dropping-particle":"","family":"Iwahashi","given":"Hiromi","non-dropping-particle":"","parse-names":false,"suffix":""},{"dropping-particle":"","family":"Yamagata","given":"Kazuya","non-dropping-particle":"","parse-names":false,"suffix":""},{"dropping-particle":"","family":"Miyagawa","given":"Jun-Ichiro","non-dropping-particle":"","parse-names":false,"suffix":""},{"dropping-particle":"","family":"Matsuzawa","given":"Yuji","non-dropping-particle":"","parse-names":false,"suffix":""}],"container-title":"Diabetes care","id":"ITEM-1","issue":"9","issued":{"date-parts":[["2002","9","1"]]},"page":"1665-6","publisher":"American Diabetes Association","title":"Elevated serum concentration of adipose-derived factor, adiponectin, in patients with type 1 diabetes.","type":"article-journal","volume":"25"},"uris":["http://www.mendeley.com/documents/?uuid=b2e50367-7621-3614-b66d-f94e23da9755"]}],"mendeley":{"formattedCitation":"(2)","plainTextFormattedCitation":"(2)","previouslyFormattedCitation":"(2)"},"properties":{"noteIndex":0},"schema":"https://github.com/citation-style-language/schema/raw/master/csl-citation.json"}</w:instrText>
      </w:r>
      <w:r w:rsidR="001625C3" w:rsidRPr="005F63D1">
        <w:rPr>
          <w:rFonts w:ascii="Charter" w:hAnsi="Charter"/>
        </w:rPr>
        <w:fldChar w:fldCharType="separate"/>
      </w:r>
      <w:r w:rsidR="001625C3" w:rsidRPr="005F63D1">
        <w:rPr>
          <w:rFonts w:ascii="Charter" w:hAnsi="Charter"/>
          <w:noProof/>
        </w:rPr>
        <w:t>(2)</w:t>
      </w:r>
      <w:r w:rsidR="001625C3" w:rsidRPr="005F63D1">
        <w:rPr>
          <w:rFonts w:ascii="Charter" w:hAnsi="Charter"/>
        </w:rPr>
        <w:fldChar w:fldCharType="end"/>
      </w:r>
      <w:r w:rsidR="001625C3" w:rsidRPr="005F63D1">
        <w:rPr>
          <w:rFonts w:ascii="Charter" w:hAnsi="Charter"/>
        </w:rPr>
        <w:t>. Its gene is located on chromosome 3q26-27</w:t>
      </w:r>
      <w:r w:rsidR="001625C3" w:rsidRPr="005F63D1">
        <w:rPr>
          <w:rFonts w:ascii="Charter" w:hAnsi="Charter"/>
        </w:rPr>
        <w:fldChar w:fldCharType="begin" w:fldLock="1"/>
      </w:r>
      <w:r w:rsidR="00677BC3" w:rsidRPr="005F63D1">
        <w:rPr>
          <w:rFonts w:ascii="Charter" w:hAnsi="Charter"/>
        </w:rPr>
        <w:instrText>ADDIN CSL_CITATION {"citationItems":[{"id":"ITEM-1","itemData":{"DOI":"10.1186/1471-2350-11-116","ISSN":"1471-2350","abstract":"MCF2L2, ADIPOQ and SOX2 genes are located in chromosome 3q26-27, which is linked to diabetic nephropathy (DN). ADIPOQ and SOX2 genetic polymorphisms are found to be associated with DN. In the present study, we first investigated the association between MCF2L2 and DN, and then evaluated effects of these three genes on the development of DN. A total of 1177 type 1 diabetes patients with and without DN from the GoKinD study were genotyped with TaqMan allelic discrimination. All subjects were of European descent. Leu359Ile T/G variant in the MCF2L2 gene was found to be associated with DN in female subjects (P = 0.017, OR = 0.701, 95%CI 0.524-0.938) but not in males. The GG genotype carriers among female patients with DN had tendency decreased creatinine and cystatin levels compared to the carriers with either TT or TG genotypes. This polymorphism MCF2L2-rs7639705 together with SNPs of ADIPOQ-rs266729 and SOX2-rs11915160 had combined effects on decreased risk of DN in females (P = 0.001). The present study provides evidence that MCF2L2, ADIPOQ and SOX2 genetic polymorphisms have effects on the resistance of DN in female T1D patients, and suggests that the linkage with DN in chromosome 3q may be explained by the cumulated genetic effects.","author":[{"dropping-particle":"","family":"Zhang","given":"Dongying","non-dropping-particle":"","parse-names":false,"suffix":""},{"dropping-particle":"","family":"Efendic","given":"Suad","non-dropping-particle":"","parse-names":false,"suffix":""},{"dropping-particle":"","family":"Brismar","given":"Kerstin","non-dropping-particle":"","parse-names":false,"suffix":""},{"dropping-particle":"","family":"Gu","given":"Harvest F","non-dropping-particle":"","parse-names":false,"suffix":""}],"container-title":"BMC Medical Genetics","id":"ITEM-1","issue":"1","issued":{"date-parts":[["2010","12","28"]]},"page":"116","publisher":"BioMed Central","title":"Effects of MCF2L2, ADIPOQ and SOX2 genetic polymorphisms on the development of nephropathy in type 1 Diabetes Mellitus","type":"article-journal","volume":"11"},"uris":["http://www.mendeley.com/documents/?uuid=097476cd-83bc-3f51-af34-86d4c64e0e6d"]}],"mendeley":{"formattedCitation":"(3)","plainTextFormattedCitation":"(3)","previouslyFormattedCitation":"(3)"},"properties":{"noteIndex":0},"schema":"https://github.com/citation-style-language/schema/raw/master/csl-citation.json"}</w:instrText>
      </w:r>
      <w:r w:rsidR="001625C3" w:rsidRPr="005F63D1">
        <w:rPr>
          <w:rFonts w:ascii="Charter" w:hAnsi="Charter"/>
        </w:rPr>
        <w:fldChar w:fldCharType="separate"/>
      </w:r>
      <w:r w:rsidR="001625C3" w:rsidRPr="005F63D1">
        <w:rPr>
          <w:rFonts w:ascii="Charter" w:hAnsi="Charter"/>
          <w:noProof/>
        </w:rPr>
        <w:t>(3)</w:t>
      </w:r>
      <w:r w:rsidR="001625C3" w:rsidRPr="005F63D1">
        <w:rPr>
          <w:rFonts w:ascii="Charter" w:hAnsi="Charter"/>
        </w:rPr>
        <w:fldChar w:fldCharType="end"/>
      </w:r>
      <w:r w:rsidR="001625C3" w:rsidRPr="005F63D1">
        <w:rPr>
          <w:rFonts w:ascii="Charter" w:hAnsi="Charter"/>
        </w:rPr>
        <w:t xml:space="preserve">, a locus linked to diabetic nephropathy. Low serum adiponectin concentrations(under 10 µg/L) are considered a risk factor for macrovascular complications of persistent </w:t>
      </w:r>
      <w:proofErr w:type="spellStart"/>
      <w:r w:rsidR="001625C3" w:rsidRPr="005F63D1">
        <w:rPr>
          <w:rFonts w:ascii="Charter" w:hAnsi="Charter"/>
        </w:rPr>
        <w:t>hyperglycaemia</w:t>
      </w:r>
      <w:proofErr w:type="spellEnd"/>
      <w:r w:rsidR="001625C3" w:rsidRPr="005F63D1">
        <w:rPr>
          <w:rFonts w:ascii="Charter" w:hAnsi="Charter"/>
        </w:rPr>
        <w:t xml:space="preserve">(as encountered in both type 1 and type 2 diabetes). </w:t>
      </w:r>
    </w:p>
    <w:p w14:paraId="0C06BA13" w14:textId="77777777" w:rsidR="001625C3" w:rsidRPr="005F63D1" w:rsidRDefault="001625C3" w:rsidP="00202A73">
      <w:pPr>
        <w:pStyle w:val="Body"/>
        <w:ind w:left="360"/>
        <w:jc w:val="both"/>
        <w:rPr>
          <w:rFonts w:ascii="Charter" w:hAnsi="Charter"/>
        </w:rPr>
      </w:pPr>
    </w:p>
    <w:p w14:paraId="791D30F5" w14:textId="4F937AC6" w:rsidR="001625C3" w:rsidRPr="005F63D1" w:rsidRDefault="001625C3" w:rsidP="00202A73">
      <w:pPr>
        <w:pStyle w:val="Body"/>
        <w:ind w:left="360"/>
        <w:jc w:val="both"/>
        <w:rPr>
          <w:rFonts w:ascii="Charter" w:hAnsi="Charter"/>
        </w:rPr>
      </w:pPr>
      <w:r w:rsidRPr="005F63D1">
        <w:rPr>
          <w:rFonts w:ascii="Charter" w:hAnsi="Charter"/>
        </w:rPr>
        <w:t xml:space="preserve">Glutathione is one of the major systems involved in the detoxification of xenobiotics and reactive oxygen species. Glutathione S transferase is part of that system, an enzyme which </w:t>
      </w:r>
      <w:proofErr w:type="spellStart"/>
      <w:r w:rsidRPr="005F63D1">
        <w:rPr>
          <w:rFonts w:ascii="Charter" w:hAnsi="Charter"/>
        </w:rPr>
        <w:t>catalyses</w:t>
      </w:r>
      <w:proofErr w:type="spellEnd"/>
      <w:r w:rsidRPr="005F63D1">
        <w:rPr>
          <w:rFonts w:ascii="Charter" w:hAnsi="Charter"/>
        </w:rPr>
        <w:t xml:space="preserve"> the conjugation of the toxin with glutathione. It presents in various </w:t>
      </w:r>
      <w:proofErr w:type="spellStart"/>
      <w:r w:rsidRPr="005F63D1">
        <w:rPr>
          <w:rFonts w:ascii="Charter" w:hAnsi="Charter"/>
        </w:rPr>
        <w:t>isoformes</w:t>
      </w:r>
      <w:proofErr w:type="spellEnd"/>
      <w:r w:rsidRPr="005F63D1">
        <w:rPr>
          <w:rFonts w:ascii="Charter" w:hAnsi="Charter"/>
        </w:rPr>
        <w:t>, of which we mention the mu(M1) and theta(T1)</w:t>
      </w:r>
      <w:r w:rsidR="00E564CF" w:rsidRPr="005F63D1">
        <w:rPr>
          <w:rFonts w:ascii="Charter" w:hAnsi="Charter"/>
        </w:rPr>
        <w:t xml:space="preserve">-these </w:t>
      </w:r>
      <w:r w:rsidR="00677BC3" w:rsidRPr="005F63D1">
        <w:rPr>
          <w:rFonts w:ascii="Charter" w:hAnsi="Charter"/>
        </w:rPr>
        <w:t xml:space="preserve">often present a polymorphic homozygous deletion, resulting in a null genotype and a complete absence of enzyme activity </w:t>
      </w:r>
      <w:r w:rsidR="00677BC3" w:rsidRPr="005F63D1">
        <w:rPr>
          <w:rFonts w:ascii="Charter" w:hAnsi="Charter"/>
        </w:rPr>
        <w:fldChar w:fldCharType="begin" w:fldLock="1"/>
      </w:r>
      <w:r w:rsidR="005C7532" w:rsidRPr="005F63D1">
        <w:rPr>
          <w:rFonts w:ascii="Charter" w:hAnsi="Charter"/>
        </w:rPr>
        <w:instrText>ADDIN CSL_CITATION {"citationItems":[{"id":"ITEM-1","itemData":{"DOI":"10.1080/08916930500407238","ISSN":"0891-6934","PMID":"16390810","abstract":"Type 1 diabetes (T1D) is an autoimmune disease characterized by pancreatic beta cell destruction involving auto-reactive T-cells, pro-inflammatory cytokines, reactive oxygen species (ROS) and loss of insulin. Monozygotic twin studies show a 20-60% concordance with T1D indicating there may be an environmental component to the disease. Glutathione (GSH) is the major endogenous antioxidant produced by the cell. GSH participates directly in the neutralization of free radicals and plays a role in the immune response. Glutathione-s-transferases (GSTs) conjugate GSH to free-radicals or xenobiotics. GST activity depletes GSH levels and may either detoxify or enhance the toxicity of a compound. Glutathione-s-transferase mu 1 (GSTM1) and glutathione-s-transferase theta 1 (GSTT1) have polymorphic homozygous deletion (null) genotypes resulting in complete absence of enzyme activity. GSTM1 and GSTT1 null genotypes in Caucasian populations have frequencies of approximately 40-60% and 15-20%, respectively. GST null genotypes have been associated with susceptibility to cancer and protection against chronic pancreatitis. The aim of this study was to investigate associations with GSTM1 and GSTT1 polymorphisms in a group T1D patients and control subjects 0-35 years old who participated in the Combined Swedish Childhood Diabetes Registry and Diabetes Incidence Study (1986-1988). Results show that the presence of the GSTM1 and not the null genotype (OR, 2.13 95% CI, 1.23-3.70, p-value, 0.007, Bonferroni corrected p-value, 0.035) may be a susceptibility factor in T1D 14-20 years old. These results suggest that the GSTM1 null genotype is associated with T1D protection and T1D age-at-onset and that susceptibility to T1D may involve GST conjugation.","author":[{"dropping-particle":"","family":"Bekris","given":"Lynn M.","non-dropping-particle":"","parse-names":false,"suffix":""},{"dropping-particle":"","family":"Shephard","given":"Cindy","non-dropping-particle":"","parse-names":false,"suffix":""},{"dropping-particle":"","family":"Peterson","given":"Morgan","non-dropping-particle":"","parse-names":false,"suffix":""},{"dropping-particle":"","family":"Hoehna","given":"Jana","non-dropping-particle":"","parse-names":false,"suffix":""},{"dropping-particle":"Van","family":"Yserloo","given":"Brian","non-dropping-particle":"","parse-names":false,"suffix":""},{"dropping-particle":"","family":"Rutledge","given":"Elizabeth","non-dropping-particle":"","parse-names":false,"suffix":""},{"dropping-particle":"","family":"Farin","given":"Federico","non-dropping-particle":"","parse-names":false,"suffix":""},{"dropping-particle":"","family":"Kavanagh","given":"Terrance J.","non-dropping-particle":"","parse-names":false,"suffix":""},{"dropping-particle":"","family":"Lernmark","given":"Ake","non-dropping-particle":"","parse-names":false,"suffix":""}],"container-title":"Autoimmunity","id":"ITEM-1","issue":"8","issued":{"date-parts":[["2005","1","7"]]},"page":"567-575","title":"Glutathione-s-transferase M1 and T1 polymorphisms and associations with type 1 diabetes age-at-onset","type":"article-journal","volume":"38"},"uris":["http://www.mendeley.com/documents/?uuid=d5825d98-4a47-37e2-95cd-fd11f4197135"]}],"mendeley":{"formattedCitation":"(1)","plainTextFormattedCitation":"(1)","previouslyFormattedCitation":"(1)"},"properties":{"noteIndex":0},"schema":"https://github.com/citation-style-language/schema/raw/master/csl-citation.json"}</w:instrText>
      </w:r>
      <w:r w:rsidR="00677BC3" w:rsidRPr="005F63D1">
        <w:rPr>
          <w:rFonts w:ascii="Charter" w:hAnsi="Charter"/>
        </w:rPr>
        <w:fldChar w:fldCharType="separate"/>
      </w:r>
      <w:r w:rsidR="00677BC3" w:rsidRPr="005F63D1">
        <w:rPr>
          <w:rFonts w:ascii="Charter" w:hAnsi="Charter"/>
          <w:noProof/>
        </w:rPr>
        <w:t>(1)</w:t>
      </w:r>
      <w:r w:rsidR="00677BC3" w:rsidRPr="005F63D1">
        <w:rPr>
          <w:rFonts w:ascii="Charter" w:hAnsi="Charter"/>
        </w:rPr>
        <w:fldChar w:fldCharType="end"/>
      </w:r>
      <w:r w:rsidR="00677BC3" w:rsidRPr="005F63D1">
        <w:rPr>
          <w:rFonts w:ascii="Charter" w:hAnsi="Charter"/>
        </w:rPr>
        <w:t>.</w:t>
      </w:r>
    </w:p>
    <w:p w14:paraId="6FEC20D6" w14:textId="77777777" w:rsidR="00677BC3" w:rsidRPr="005F63D1" w:rsidRDefault="00677BC3" w:rsidP="00202A73">
      <w:pPr>
        <w:pStyle w:val="Body"/>
        <w:ind w:left="360"/>
        <w:jc w:val="both"/>
        <w:rPr>
          <w:rFonts w:ascii="Charter" w:hAnsi="Charter"/>
        </w:rPr>
      </w:pPr>
      <w:r w:rsidRPr="005F63D1">
        <w:rPr>
          <w:rFonts w:ascii="Charter" w:hAnsi="Charter"/>
        </w:rPr>
        <w:t xml:space="preserve"> </w:t>
      </w:r>
    </w:p>
    <w:p w14:paraId="50B49911" w14:textId="7ED7A1AD" w:rsidR="00677BC3" w:rsidRPr="005F63D1" w:rsidRDefault="00677BC3" w:rsidP="00202A73">
      <w:pPr>
        <w:pStyle w:val="Body"/>
        <w:ind w:left="360"/>
        <w:jc w:val="both"/>
        <w:rPr>
          <w:rFonts w:ascii="Charter" w:hAnsi="Charter"/>
        </w:rPr>
      </w:pPr>
      <w:r w:rsidRPr="005F63D1">
        <w:rPr>
          <w:rFonts w:ascii="Charter" w:hAnsi="Charter"/>
        </w:rPr>
        <w:t xml:space="preserve">Tumor necrosis factor α(TNF α) activates the RTNFα receptors, inducing the apoptosis of autoreactive T cells and the expansion of </w:t>
      </w:r>
      <w:proofErr w:type="spellStart"/>
      <w:r w:rsidRPr="005F63D1">
        <w:rPr>
          <w:rFonts w:ascii="Charter" w:hAnsi="Charter"/>
        </w:rPr>
        <w:t>Treg</w:t>
      </w:r>
      <w:proofErr w:type="spellEnd"/>
      <w:r w:rsidRPr="005F63D1">
        <w:rPr>
          <w:rFonts w:ascii="Charter" w:hAnsi="Charter"/>
        </w:rPr>
        <w:t xml:space="preserve"> cells. The α308A polymorphic variant is frequent in diabetic patients, while serum concentrations of TNFα are increased in diabetic patients. </w:t>
      </w:r>
      <w:r w:rsidRPr="005F63D1">
        <w:rPr>
          <w:rFonts w:ascii="Charter" w:hAnsi="Charter"/>
        </w:rPr>
        <w:br/>
        <w:t xml:space="preserve">The purpose of the present research article is to offer information regarding the presented genetic variants in a Romanian pediatric population of patients diagnosed with type 1 diabetes. </w:t>
      </w:r>
    </w:p>
    <w:p w14:paraId="3B610D99" w14:textId="77777777" w:rsidR="00B223DC" w:rsidRPr="005F63D1" w:rsidRDefault="00B223DC" w:rsidP="00202A73">
      <w:pPr>
        <w:pStyle w:val="Body"/>
        <w:ind w:left="360"/>
        <w:jc w:val="both"/>
        <w:rPr>
          <w:rFonts w:ascii="Charter" w:hAnsi="Charter"/>
        </w:rPr>
      </w:pPr>
    </w:p>
    <w:p w14:paraId="15537A0E" w14:textId="77777777" w:rsidR="00B223DC" w:rsidRPr="005F63D1" w:rsidRDefault="00B223DC" w:rsidP="00202A73">
      <w:pPr>
        <w:pStyle w:val="Body"/>
        <w:jc w:val="both"/>
        <w:rPr>
          <w:rFonts w:ascii="Charter" w:hAnsi="Charter"/>
        </w:rPr>
      </w:pPr>
    </w:p>
    <w:p w14:paraId="4DD07C79" w14:textId="77777777" w:rsidR="00B223DC" w:rsidRPr="005F63D1" w:rsidRDefault="00B223DC" w:rsidP="00202A73">
      <w:pPr>
        <w:pStyle w:val="Body"/>
        <w:jc w:val="both"/>
        <w:rPr>
          <w:rFonts w:ascii="Charter" w:hAnsi="Charter"/>
        </w:rPr>
      </w:pPr>
    </w:p>
    <w:p w14:paraId="196CF1F2" w14:textId="631CDDEF" w:rsidR="00517A28" w:rsidRPr="00C8017A" w:rsidRDefault="005161E7" w:rsidP="00202A73">
      <w:pPr>
        <w:pStyle w:val="Body"/>
        <w:numPr>
          <w:ilvl w:val="0"/>
          <w:numId w:val="1"/>
        </w:numPr>
        <w:jc w:val="both"/>
        <w:rPr>
          <w:rFonts w:ascii="Charter" w:hAnsi="Charter"/>
          <w:b/>
          <w:bCs/>
        </w:rPr>
      </w:pPr>
      <w:r w:rsidRPr="005F63D1">
        <w:rPr>
          <w:rFonts w:ascii="Charter" w:hAnsi="Charter"/>
          <w:b/>
          <w:bCs/>
        </w:rPr>
        <w:t>Subjects and methods</w:t>
      </w:r>
    </w:p>
    <w:p w14:paraId="038A85AB" w14:textId="0F26958D" w:rsidR="00517A28" w:rsidRPr="00C8017A" w:rsidRDefault="005161E7" w:rsidP="00C8017A">
      <w:pPr>
        <w:pStyle w:val="Body"/>
        <w:numPr>
          <w:ilvl w:val="1"/>
          <w:numId w:val="1"/>
        </w:numPr>
        <w:jc w:val="both"/>
        <w:rPr>
          <w:rFonts w:ascii="Charter" w:hAnsi="Charter"/>
        </w:rPr>
      </w:pPr>
      <w:r w:rsidRPr="00C8017A">
        <w:rPr>
          <w:rFonts w:ascii="Charter" w:hAnsi="Charter"/>
        </w:rPr>
        <w:t>Ethics Statement</w:t>
      </w:r>
    </w:p>
    <w:p w14:paraId="40476CD2" w14:textId="77777777" w:rsidR="00C8017A" w:rsidRPr="005F63D1" w:rsidRDefault="00C8017A" w:rsidP="00C8017A">
      <w:pPr>
        <w:pStyle w:val="Body"/>
        <w:ind w:left="1080"/>
        <w:jc w:val="both"/>
        <w:rPr>
          <w:rFonts w:ascii="Charter" w:hAnsi="Charter"/>
        </w:rPr>
      </w:pPr>
    </w:p>
    <w:p w14:paraId="74369FCC" w14:textId="77777777" w:rsidR="00677BC3" w:rsidRPr="005F63D1" w:rsidRDefault="00677BC3" w:rsidP="00202A73">
      <w:pPr>
        <w:pStyle w:val="Body"/>
        <w:jc w:val="both"/>
        <w:rPr>
          <w:rFonts w:ascii="Charter" w:eastAsia="Charter" w:hAnsi="Charter" w:cs="Charter"/>
          <w:lang w:val="en-GB"/>
        </w:rPr>
      </w:pPr>
      <w:r w:rsidRPr="005F63D1">
        <w:rPr>
          <w:rFonts w:ascii="Charter" w:eastAsia="Charter" w:hAnsi="Charter" w:cs="Charter"/>
        </w:rPr>
        <w:t xml:space="preserve"> The present study has been approved by the </w:t>
      </w:r>
      <w:proofErr w:type="spellStart"/>
      <w:r w:rsidRPr="005F63D1">
        <w:rPr>
          <w:rFonts w:ascii="Charter" w:eastAsia="Charter" w:hAnsi="Charter" w:cs="Charter"/>
        </w:rPr>
        <w:t>Iuliu</w:t>
      </w:r>
      <w:proofErr w:type="spellEnd"/>
      <w:r w:rsidRPr="005F63D1">
        <w:rPr>
          <w:rFonts w:ascii="Charter" w:eastAsia="Charter" w:hAnsi="Charter" w:cs="Charter"/>
        </w:rPr>
        <w:t xml:space="preserve"> Ha</w:t>
      </w:r>
      <w:r w:rsidRPr="005F63D1">
        <w:rPr>
          <w:rFonts w:ascii="Charter" w:eastAsia="Charter" w:hAnsi="Charter" w:cs="Charter"/>
          <w:lang w:val="ro-RO"/>
        </w:rPr>
        <w:t>țieganu University of Medicine and Pharmacy</w:t>
      </w:r>
      <w:r w:rsidR="001D6703" w:rsidRPr="005F63D1">
        <w:rPr>
          <w:rFonts w:ascii="Charter" w:eastAsia="Charter" w:hAnsi="Charter" w:cs="Charter"/>
          <w:lang w:val="ro-RO"/>
        </w:rPr>
        <w:t xml:space="preserve"> in Cluj-Napoca, Romania, and the patients</w:t>
      </w:r>
      <w:r w:rsidR="001D6703" w:rsidRPr="005F63D1">
        <w:rPr>
          <w:rFonts w:ascii="Charter" w:eastAsia="Charter" w:hAnsi="Charter" w:cs="Charter"/>
          <w:lang w:val="en-GB"/>
        </w:rPr>
        <w:t xml:space="preserve">’ and their legal representatives consent was taken, in writing, before </w:t>
      </w:r>
      <w:r w:rsidR="00766C8D" w:rsidRPr="005F63D1">
        <w:rPr>
          <w:rFonts w:ascii="Charter" w:eastAsia="Charter" w:hAnsi="Charter" w:cs="Charter"/>
          <w:lang w:val="en-GB"/>
        </w:rPr>
        <w:t xml:space="preserve">inclusion in the study. </w:t>
      </w:r>
    </w:p>
    <w:p w14:paraId="7ED0E82B" w14:textId="77777777" w:rsidR="00C8017A" w:rsidRDefault="00C8017A" w:rsidP="00202A73">
      <w:pPr>
        <w:pStyle w:val="Body"/>
        <w:jc w:val="both"/>
        <w:rPr>
          <w:rFonts w:ascii="Charter" w:hAnsi="Charter"/>
        </w:rPr>
      </w:pPr>
    </w:p>
    <w:p w14:paraId="6E9D5B87" w14:textId="38ADCE52" w:rsidR="00517A28" w:rsidRPr="005F63D1" w:rsidRDefault="005161E7" w:rsidP="00C8017A">
      <w:pPr>
        <w:pStyle w:val="Body"/>
        <w:jc w:val="both"/>
        <w:rPr>
          <w:rFonts w:ascii="Charter" w:hAnsi="Charter"/>
        </w:rPr>
      </w:pPr>
      <w:r w:rsidRPr="005F63D1">
        <w:rPr>
          <w:rFonts w:ascii="Charter" w:hAnsi="Charter"/>
        </w:rPr>
        <w:t>2.2 Study design</w:t>
      </w:r>
    </w:p>
    <w:p w14:paraId="25CD4527" w14:textId="1F0462C2" w:rsidR="00766C8D" w:rsidRPr="00226BFA" w:rsidRDefault="00766C8D" w:rsidP="005062B0">
      <w:pPr>
        <w:pStyle w:val="NormalWeb"/>
        <w:jc w:val="both"/>
        <w:rPr>
          <w:rFonts w:ascii="Charter Roman" w:hAnsi="Charter Roman"/>
        </w:rPr>
      </w:pPr>
      <w:r w:rsidRPr="00226BFA">
        <w:rPr>
          <w:rFonts w:ascii="Charter Roman" w:eastAsia="Charter" w:hAnsi="Charter Roman" w:cs="Charter"/>
        </w:rPr>
        <w:t xml:space="preserve">The study is a cross-sectional, observational case-control study. The cases were composed of patients diagnosed with type 1 diabetes mellitus, under or at 18 years of age, under surveillance at the First Pediatrics Clinic </w:t>
      </w:r>
      <w:r w:rsidR="005062B0" w:rsidRPr="00226BFA">
        <w:rPr>
          <w:rFonts w:ascii="Charter Roman" w:eastAsia="Charter" w:hAnsi="Charter Roman" w:cs="Charter"/>
        </w:rPr>
        <w:t xml:space="preserve">of the </w:t>
      </w:r>
      <w:r w:rsidR="005062B0" w:rsidRPr="00226BFA">
        <w:rPr>
          <w:rFonts w:ascii="Charter Roman" w:hAnsi="Charter Roman"/>
        </w:rPr>
        <w:t>Pediatric Emergency Hospital Cluj-Napoca</w:t>
      </w:r>
      <w:r w:rsidRPr="00226BFA">
        <w:rPr>
          <w:rFonts w:ascii="Charter Roman" w:eastAsia="Charter" w:hAnsi="Charter Roman" w:cs="Charter"/>
        </w:rPr>
        <w:t xml:space="preserve">-this led to a total of 72 </w:t>
      </w:r>
      <w:r w:rsidR="005C53B2" w:rsidRPr="00226BFA">
        <w:rPr>
          <w:rFonts w:ascii="Charter Roman" w:eastAsia="Charter" w:hAnsi="Charter Roman" w:cs="Charter"/>
        </w:rPr>
        <w:t>cases</w:t>
      </w:r>
      <w:r w:rsidRPr="00226BFA">
        <w:rPr>
          <w:rFonts w:ascii="Charter Roman" w:eastAsia="Charter" w:hAnsi="Charter Roman" w:cs="Charter"/>
        </w:rPr>
        <w:t xml:space="preserve">: 45% male patients and 55% female patients. The control group was comprised of patients under or at 18 years of age, admitted to the First Pediatrics Clinic of the </w:t>
      </w:r>
      <w:r w:rsidR="00226BFA" w:rsidRPr="00226BFA">
        <w:rPr>
          <w:rFonts w:ascii="Charter Roman" w:hAnsi="Charter Roman"/>
        </w:rPr>
        <w:t>Pediatric Emergency Hospital Cluj-Napoca</w:t>
      </w:r>
      <w:r w:rsidR="00226BFA" w:rsidRPr="00226BFA">
        <w:rPr>
          <w:rFonts w:ascii="Charter Roman" w:eastAsia="Charter" w:hAnsi="Charter Roman" w:cs="Charter"/>
        </w:rPr>
        <w:t xml:space="preserve"> </w:t>
      </w:r>
      <w:r w:rsidRPr="00226BFA">
        <w:rPr>
          <w:rFonts w:ascii="Charter Roman" w:eastAsia="Charter" w:hAnsi="Charter Roman" w:cs="Charter"/>
        </w:rPr>
        <w:t>for different complaints that were unrelated to diabetes. Patients diagnosed with diabetes, either type 1 or 2 diabetes mellitus, as well as pre-diabetic states or symptoms indicating diabetes</w:t>
      </w:r>
      <w:r w:rsidR="00F42BB3" w:rsidRPr="00226BFA">
        <w:rPr>
          <w:rFonts w:ascii="Charter Roman" w:eastAsia="Charter" w:hAnsi="Charter Roman" w:cs="Charter"/>
        </w:rPr>
        <w:t xml:space="preserve"> were excluded from taking part in the control group. </w:t>
      </w:r>
      <w:r w:rsidR="005C53B2" w:rsidRPr="00226BFA">
        <w:rPr>
          <w:rFonts w:ascii="Charter Roman" w:eastAsia="Charter" w:hAnsi="Charter Roman" w:cs="Charter"/>
        </w:rPr>
        <w:t xml:space="preserve">The control group was comprised of 90 controls, with 56% males and 44% female participants. </w:t>
      </w:r>
    </w:p>
    <w:p w14:paraId="4EE2AD6D" w14:textId="77777777" w:rsidR="00F42BB3" w:rsidRPr="005F63D1" w:rsidRDefault="00F42BB3" w:rsidP="00202A73">
      <w:pPr>
        <w:pStyle w:val="Body"/>
        <w:jc w:val="both"/>
        <w:rPr>
          <w:rFonts w:ascii="Charter" w:eastAsia="Charter" w:hAnsi="Charter" w:cs="Charter"/>
        </w:rPr>
      </w:pPr>
      <w:r w:rsidRPr="005F63D1">
        <w:rPr>
          <w:rFonts w:ascii="Charter" w:eastAsia="Charter" w:hAnsi="Charter" w:cs="Charter"/>
        </w:rPr>
        <w:t>A peripheral blood sample was taken on a purple cap K3EDTA vacutainer, and kept at 4˚C until DNA extraction was performed, using a commercially available genomic DNA extraction kit</w:t>
      </w:r>
      <w:r w:rsidR="005C53B2" w:rsidRPr="005F63D1">
        <w:rPr>
          <w:rFonts w:ascii="Charter" w:eastAsia="Charter" w:hAnsi="Charter" w:cs="Charter"/>
        </w:rPr>
        <w:t xml:space="preserve"> </w:t>
      </w:r>
      <w:r w:rsidRPr="005F63D1">
        <w:rPr>
          <w:rFonts w:ascii="Charter" w:eastAsia="Charter" w:hAnsi="Charter" w:cs="Charter"/>
        </w:rPr>
        <w:t>(Wizard DNA Extraction Kit, Promega Corporation). Purity and obtained DNA concentration was tested spectrophotometrically, and upon validation, genotyping was carried out.</w:t>
      </w:r>
    </w:p>
    <w:p w14:paraId="69241AA4" w14:textId="77777777" w:rsidR="005C53B2" w:rsidRPr="005F63D1" w:rsidRDefault="005C53B2" w:rsidP="00202A73">
      <w:pPr>
        <w:pStyle w:val="Body"/>
        <w:jc w:val="both"/>
        <w:rPr>
          <w:rFonts w:ascii="Charter" w:eastAsia="Charter" w:hAnsi="Charter" w:cs="Charter"/>
        </w:rPr>
      </w:pPr>
    </w:p>
    <w:p w14:paraId="291F02EF" w14:textId="5DE15212" w:rsidR="00517A28" w:rsidRPr="005F63D1" w:rsidRDefault="005161E7" w:rsidP="00202A73">
      <w:pPr>
        <w:pStyle w:val="Body"/>
        <w:jc w:val="both"/>
        <w:rPr>
          <w:rFonts w:ascii="Charter" w:hAnsi="Charter"/>
        </w:rPr>
      </w:pPr>
      <w:r w:rsidRPr="005F63D1">
        <w:rPr>
          <w:rFonts w:ascii="Charter" w:hAnsi="Charter"/>
        </w:rPr>
        <w:t>2.3 Genotyping of Adiponectin, GSTM and GSTT, TNF-</w:t>
      </w:r>
      <w:r w:rsidR="00735ECE" w:rsidRPr="005F63D1">
        <w:rPr>
          <w:rFonts w:ascii="Charter" w:hAnsi="Charter"/>
        </w:rPr>
        <w:t>α</w:t>
      </w:r>
      <w:r w:rsidRPr="005F63D1">
        <w:rPr>
          <w:rFonts w:ascii="Charter" w:hAnsi="Charter"/>
        </w:rPr>
        <w:t xml:space="preserve"> Polymorphisms</w:t>
      </w:r>
    </w:p>
    <w:p w14:paraId="25C0603F" w14:textId="77777777" w:rsidR="005C53B2" w:rsidRPr="005F63D1" w:rsidRDefault="005C53B2" w:rsidP="00202A73">
      <w:pPr>
        <w:pStyle w:val="Body"/>
        <w:jc w:val="both"/>
        <w:rPr>
          <w:rFonts w:ascii="Charter" w:hAnsi="Charter"/>
        </w:rPr>
      </w:pPr>
    </w:p>
    <w:p w14:paraId="06D0B0CE" w14:textId="609B81A0" w:rsidR="005C53B2" w:rsidRPr="005F63D1" w:rsidRDefault="00D24904" w:rsidP="00202A73">
      <w:pPr>
        <w:pStyle w:val="Body"/>
        <w:jc w:val="both"/>
        <w:rPr>
          <w:rFonts w:ascii="Charter" w:eastAsia="Charter" w:hAnsi="Charter" w:cs="Charter"/>
        </w:rPr>
      </w:pPr>
      <w:r w:rsidRPr="005F63D1">
        <w:rPr>
          <w:rFonts w:ascii="Charter" w:eastAsia="Charter" w:hAnsi="Charter" w:cs="Charter"/>
        </w:rPr>
        <w:t xml:space="preserve">Genotyping for </w:t>
      </w:r>
      <w:r w:rsidR="00467AC0" w:rsidRPr="005F63D1">
        <w:rPr>
          <w:rFonts w:ascii="Charter" w:eastAsia="Charter" w:hAnsi="Charter" w:cs="Charter"/>
        </w:rPr>
        <w:t xml:space="preserve">AdipoQ 276 G&gt;T </w:t>
      </w:r>
      <w:r w:rsidR="001B7577" w:rsidRPr="005F63D1">
        <w:rPr>
          <w:rFonts w:ascii="Charter" w:eastAsia="Charter" w:hAnsi="Charter" w:cs="Charter"/>
        </w:rPr>
        <w:t>followed a PCR-RFLP protocol, using the following primers:  5'-TCT CTC CAT GGC TGA CAG TG-3' and 5'-AGATGC AGC AAA GCC AAA GT-3', amplified under the following thermocycling conditions: denaturation for 10 min at 95˚C, followed by 35 cycles of denaturation for 30 seconds at 95˚C, annealing for 30 seconds at 55˚C and elongation for 30 seconds at 72˚C, with a final elongation of 7 minutes at 72˚C. The amplified AdipoQ fragment was digested overnight at 37˚C using 5U of Mva1269I(</w:t>
      </w:r>
      <w:proofErr w:type="spellStart"/>
      <w:r w:rsidR="001B7577" w:rsidRPr="005F63D1">
        <w:rPr>
          <w:rFonts w:ascii="Charter" w:eastAsia="Charter" w:hAnsi="Charter" w:cs="Charter"/>
        </w:rPr>
        <w:t>Fermentas</w:t>
      </w:r>
      <w:proofErr w:type="spellEnd"/>
      <w:r w:rsidR="001B7577" w:rsidRPr="005F63D1">
        <w:rPr>
          <w:rFonts w:ascii="Charter" w:eastAsia="Charter" w:hAnsi="Charter" w:cs="Charter"/>
        </w:rPr>
        <w:t xml:space="preserve"> MBI, Vilnius, </w:t>
      </w:r>
      <w:proofErr w:type="spellStart"/>
      <w:r w:rsidR="001B7577" w:rsidRPr="005F63D1">
        <w:rPr>
          <w:rFonts w:ascii="Charter" w:eastAsia="Charter" w:hAnsi="Charter" w:cs="Charter"/>
        </w:rPr>
        <w:t>Lituania</w:t>
      </w:r>
      <w:proofErr w:type="spellEnd"/>
      <w:r w:rsidR="001B7577" w:rsidRPr="005F63D1">
        <w:rPr>
          <w:rFonts w:ascii="Charter" w:eastAsia="Charter" w:hAnsi="Charter" w:cs="Charter"/>
        </w:rPr>
        <w:t xml:space="preserve">) and migrated </w:t>
      </w:r>
      <w:r w:rsidR="00C4421B" w:rsidRPr="005F63D1">
        <w:rPr>
          <w:rFonts w:ascii="Charter" w:eastAsia="Charter" w:hAnsi="Charter" w:cs="Charter"/>
        </w:rPr>
        <w:t xml:space="preserve">through a 3% </w:t>
      </w:r>
      <w:proofErr w:type="spellStart"/>
      <w:r w:rsidR="00C4421B" w:rsidRPr="005F63D1">
        <w:rPr>
          <w:rFonts w:ascii="Charter" w:eastAsia="Charter" w:hAnsi="Charter" w:cs="Charter"/>
        </w:rPr>
        <w:t>agarose</w:t>
      </w:r>
      <w:proofErr w:type="spellEnd"/>
      <w:r w:rsidR="00C4421B" w:rsidRPr="005F63D1">
        <w:rPr>
          <w:rFonts w:ascii="Charter" w:eastAsia="Charter" w:hAnsi="Charter" w:cs="Charter"/>
        </w:rPr>
        <w:t xml:space="preserve"> gel(</w:t>
      </w:r>
      <w:proofErr w:type="spellStart"/>
      <w:r w:rsidR="00C4421B" w:rsidRPr="005F63D1">
        <w:rPr>
          <w:rFonts w:ascii="Charter" w:eastAsia="Charter" w:hAnsi="Charter" w:cs="Charter"/>
        </w:rPr>
        <w:t>MetaPhor</w:t>
      </w:r>
      <w:proofErr w:type="spellEnd"/>
      <w:r w:rsidR="00C4421B" w:rsidRPr="005F63D1">
        <w:rPr>
          <w:rFonts w:ascii="Charter" w:eastAsia="Charter" w:hAnsi="Charter" w:cs="Charter"/>
        </w:rPr>
        <w:t xml:space="preserve"> </w:t>
      </w:r>
      <w:proofErr w:type="spellStart"/>
      <w:r w:rsidR="00C4421B" w:rsidRPr="005F63D1">
        <w:rPr>
          <w:rFonts w:ascii="Charter" w:eastAsia="Charter" w:hAnsi="Charter" w:cs="Charter"/>
        </w:rPr>
        <w:t>Agarose</w:t>
      </w:r>
      <w:proofErr w:type="spellEnd"/>
      <w:r w:rsidR="00C4421B" w:rsidRPr="005F63D1">
        <w:rPr>
          <w:rFonts w:ascii="Charter" w:eastAsia="Charter" w:hAnsi="Charter" w:cs="Charter"/>
        </w:rPr>
        <w:t xml:space="preserve">, </w:t>
      </w:r>
      <w:proofErr w:type="spellStart"/>
      <w:r w:rsidR="00C4421B" w:rsidRPr="005F63D1">
        <w:rPr>
          <w:rFonts w:ascii="Charter" w:eastAsia="Charter" w:hAnsi="Charter" w:cs="Charter"/>
        </w:rPr>
        <w:t>Cambrex</w:t>
      </w:r>
      <w:proofErr w:type="spellEnd"/>
      <w:r w:rsidR="00C4421B" w:rsidRPr="005F63D1">
        <w:rPr>
          <w:rFonts w:ascii="Charter" w:eastAsia="Charter" w:hAnsi="Charter" w:cs="Charter"/>
        </w:rPr>
        <w:t xml:space="preserve"> Bio Science Inc.), distinguishing the following possible genotypes: TT, GT,GG. </w:t>
      </w:r>
    </w:p>
    <w:p w14:paraId="16893404" w14:textId="77777777" w:rsidR="00467AC0" w:rsidRPr="005F63D1" w:rsidRDefault="00467AC0" w:rsidP="00202A73">
      <w:pPr>
        <w:pStyle w:val="Body"/>
        <w:jc w:val="both"/>
        <w:rPr>
          <w:rFonts w:ascii="Charter" w:eastAsia="Charter" w:hAnsi="Charter" w:cs="Charter"/>
        </w:rPr>
      </w:pPr>
    </w:p>
    <w:p w14:paraId="0F1B86F6" w14:textId="77777777" w:rsidR="005C53B2" w:rsidRPr="005F63D1" w:rsidRDefault="005C53B2" w:rsidP="00202A73">
      <w:pPr>
        <w:pStyle w:val="Body"/>
        <w:jc w:val="both"/>
        <w:rPr>
          <w:rFonts w:ascii="Charter" w:eastAsia="Charter" w:hAnsi="Charter" w:cs="Charter"/>
        </w:rPr>
      </w:pPr>
      <w:r w:rsidRPr="005F63D1">
        <w:rPr>
          <w:rFonts w:ascii="Charter" w:eastAsia="Charter" w:hAnsi="Charter" w:cs="Charter"/>
        </w:rPr>
        <w:lastRenderedPageBreak/>
        <w:t xml:space="preserve">Genotyping for glutathione S transferase M1/T1 followed a multiplex PCR protocol, using 3 sets of </w:t>
      </w:r>
      <w:proofErr w:type="spellStart"/>
      <w:r w:rsidRPr="005F63D1">
        <w:rPr>
          <w:rFonts w:ascii="Charter" w:eastAsia="Charter" w:hAnsi="Charter" w:cs="Charter"/>
        </w:rPr>
        <w:t>primers,as</w:t>
      </w:r>
      <w:proofErr w:type="spellEnd"/>
      <w:r w:rsidRPr="005F63D1">
        <w:rPr>
          <w:rFonts w:ascii="Charter" w:eastAsia="Charter" w:hAnsi="Charter" w:cs="Charter"/>
        </w:rPr>
        <w:t xml:space="preserve"> follows:</w:t>
      </w:r>
    </w:p>
    <w:p w14:paraId="2E1540B8" w14:textId="70D52832" w:rsidR="005C53B2" w:rsidRPr="005F63D1" w:rsidRDefault="00417FC1" w:rsidP="00202A73">
      <w:pPr>
        <w:pStyle w:val="Body"/>
        <w:jc w:val="both"/>
        <w:rPr>
          <w:rFonts w:ascii="Charter" w:eastAsia="Charter" w:hAnsi="Charter" w:cs="Charter"/>
        </w:rPr>
      </w:pPr>
      <w:r w:rsidRPr="005F63D1">
        <w:rPr>
          <w:rFonts w:ascii="Charter" w:eastAsia="Charter" w:hAnsi="Charter" w:cs="Charter"/>
        </w:rPr>
        <w:t xml:space="preserve">5’-GAACTCCCTGAAAAGCTAAAGC-3’; 5’- GTTGGGCTCAAATATAGGGTGG- 3’and 5’-TTCCTTACTGGTCCTCACATCTC-3’; 5’- TCACCGGATCATGGCCAGCA-3’, as well as an internal amplification marker consisting of β globin, with the primer sequences: 5 ’ - C A </w:t>
      </w:r>
      <w:proofErr w:type="spellStart"/>
      <w:r w:rsidRPr="005F63D1">
        <w:rPr>
          <w:rFonts w:ascii="Charter" w:eastAsia="Charter" w:hAnsi="Charter" w:cs="Charter"/>
        </w:rPr>
        <w:t>A</w:t>
      </w:r>
      <w:proofErr w:type="spellEnd"/>
      <w:r w:rsidRPr="005F63D1">
        <w:rPr>
          <w:rFonts w:ascii="Charter" w:eastAsia="Charter" w:hAnsi="Charter" w:cs="Charter"/>
        </w:rPr>
        <w:t xml:space="preserve"> C T </w:t>
      </w:r>
      <w:proofErr w:type="spellStart"/>
      <w:r w:rsidRPr="005F63D1">
        <w:rPr>
          <w:rFonts w:ascii="Charter" w:eastAsia="Charter" w:hAnsi="Charter" w:cs="Charter"/>
        </w:rPr>
        <w:t>T</w:t>
      </w:r>
      <w:proofErr w:type="spellEnd"/>
      <w:r w:rsidRPr="005F63D1">
        <w:rPr>
          <w:rFonts w:ascii="Charter" w:eastAsia="Charter" w:hAnsi="Charter" w:cs="Charter"/>
        </w:rPr>
        <w:t xml:space="preserve"> C A T C </w:t>
      </w:r>
      <w:proofErr w:type="spellStart"/>
      <w:r w:rsidRPr="005F63D1">
        <w:rPr>
          <w:rFonts w:ascii="Charter" w:eastAsia="Charter" w:hAnsi="Charter" w:cs="Charter"/>
        </w:rPr>
        <w:t>C</w:t>
      </w:r>
      <w:proofErr w:type="spellEnd"/>
      <w:r w:rsidRPr="005F63D1">
        <w:rPr>
          <w:rFonts w:ascii="Charter" w:eastAsia="Charter" w:hAnsi="Charter" w:cs="Charter"/>
        </w:rPr>
        <w:t xml:space="preserve"> A C G T </w:t>
      </w:r>
      <w:proofErr w:type="spellStart"/>
      <w:r w:rsidRPr="005F63D1">
        <w:rPr>
          <w:rFonts w:ascii="Charter" w:eastAsia="Charter" w:hAnsi="Charter" w:cs="Charter"/>
        </w:rPr>
        <w:t>T</w:t>
      </w:r>
      <w:proofErr w:type="spellEnd"/>
      <w:r w:rsidRPr="005F63D1">
        <w:rPr>
          <w:rFonts w:ascii="Charter" w:eastAsia="Charter" w:hAnsi="Charter" w:cs="Charter"/>
        </w:rPr>
        <w:t xml:space="preserve"> C A C </w:t>
      </w:r>
      <w:proofErr w:type="spellStart"/>
      <w:r w:rsidRPr="005F63D1">
        <w:rPr>
          <w:rFonts w:ascii="Charter" w:eastAsia="Charter" w:hAnsi="Charter" w:cs="Charter"/>
        </w:rPr>
        <w:t>C</w:t>
      </w:r>
      <w:proofErr w:type="spellEnd"/>
      <w:r w:rsidRPr="005F63D1">
        <w:rPr>
          <w:rFonts w:ascii="Charter" w:eastAsia="Charter" w:hAnsi="Charter" w:cs="Charter"/>
        </w:rPr>
        <w:t xml:space="preserve"> - 3 ’ and 5’-GAAGAGCCAAGGACAGGTAC-3’</w:t>
      </w:r>
      <w:r w:rsidR="00D72769" w:rsidRPr="005F63D1">
        <w:rPr>
          <w:rFonts w:ascii="Charter" w:eastAsia="Charter" w:hAnsi="Charter" w:cs="Charter"/>
        </w:rPr>
        <w:t xml:space="preserve">. </w:t>
      </w:r>
    </w:p>
    <w:p w14:paraId="3C73FFD9" w14:textId="4F4547C9" w:rsidR="00D72769" w:rsidRPr="005F63D1" w:rsidRDefault="00D72769" w:rsidP="00202A73">
      <w:pPr>
        <w:pStyle w:val="Body"/>
        <w:jc w:val="both"/>
        <w:rPr>
          <w:rFonts w:ascii="Charter" w:eastAsia="Charter" w:hAnsi="Charter" w:cs="Charter"/>
        </w:rPr>
      </w:pPr>
      <w:r w:rsidRPr="005F63D1">
        <w:rPr>
          <w:rFonts w:ascii="Charter" w:eastAsia="Charter" w:hAnsi="Charter" w:cs="Charter"/>
        </w:rPr>
        <w:t xml:space="preserve">100ng of genomic DNA was amplified in 25µl reaction mixture, comprised of: 1.5nM </w:t>
      </w:r>
      <w:proofErr w:type="spellStart"/>
      <w:r w:rsidRPr="005F63D1">
        <w:rPr>
          <w:rFonts w:ascii="Charter" w:eastAsia="Charter" w:hAnsi="Charter" w:cs="Charter"/>
        </w:rPr>
        <w:t>MgCl</w:t>
      </w:r>
      <w:proofErr w:type="spellEnd"/>
      <w:r w:rsidRPr="005F63D1">
        <w:rPr>
          <w:rFonts w:ascii="Charter" w:eastAsia="Charter" w:hAnsi="Charter" w:cs="Charter"/>
        </w:rPr>
        <w:t xml:space="preserve">, 20 </w:t>
      </w:r>
      <w:proofErr w:type="spellStart"/>
      <w:r w:rsidRPr="005F63D1">
        <w:rPr>
          <w:rFonts w:ascii="Charter" w:eastAsia="Charter" w:hAnsi="Charter" w:cs="Charter"/>
        </w:rPr>
        <w:t>pmol</w:t>
      </w:r>
      <w:proofErr w:type="spellEnd"/>
      <w:r w:rsidRPr="005F63D1">
        <w:rPr>
          <w:rFonts w:ascii="Charter" w:eastAsia="Charter" w:hAnsi="Charter" w:cs="Charter"/>
        </w:rPr>
        <w:t xml:space="preserve"> of each primer, 200µm of dNTPs and 0.5 units of </w:t>
      </w:r>
      <w:proofErr w:type="spellStart"/>
      <w:r w:rsidRPr="005F63D1">
        <w:rPr>
          <w:rFonts w:ascii="Charter" w:eastAsia="Charter" w:hAnsi="Charter" w:cs="Charter"/>
        </w:rPr>
        <w:t>Taq</w:t>
      </w:r>
      <w:proofErr w:type="spellEnd"/>
      <w:r w:rsidRPr="005F63D1">
        <w:rPr>
          <w:rFonts w:ascii="Charter" w:eastAsia="Charter" w:hAnsi="Charter" w:cs="Charter"/>
        </w:rPr>
        <w:t xml:space="preserve"> polymerase. </w:t>
      </w:r>
    </w:p>
    <w:p w14:paraId="3CBE5E06" w14:textId="0C4BA6E4" w:rsidR="007144C3" w:rsidRPr="005F63D1" w:rsidRDefault="00D72769" w:rsidP="00202A73">
      <w:pPr>
        <w:pStyle w:val="Body"/>
        <w:jc w:val="both"/>
        <w:rPr>
          <w:rFonts w:ascii="Charter" w:eastAsia="Charter" w:hAnsi="Charter" w:cs="Charter"/>
        </w:rPr>
      </w:pPr>
      <w:r w:rsidRPr="005F63D1">
        <w:rPr>
          <w:rFonts w:ascii="Charter" w:eastAsia="Charter" w:hAnsi="Charter" w:cs="Charter"/>
        </w:rPr>
        <w:t>The mixture was amplified under the following thermocycl</w:t>
      </w:r>
      <w:r w:rsidR="007144C3" w:rsidRPr="005F63D1">
        <w:rPr>
          <w:rFonts w:ascii="Charter" w:eastAsia="Charter" w:hAnsi="Charter" w:cs="Charter"/>
        </w:rPr>
        <w:t xml:space="preserve">ing conditions: 5 min at 94˚C, 35 cycles of 1 min at 94˚C, 1 min at 72˚C and a final </w:t>
      </w:r>
      <w:proofErr w:type="spellStart"/>
      <w:r w:rsidR="007144C3" w:rsidRPr="005F63D1">
        <w:rPr>
          <w:rFonts w:ascii="Charter" w:eastAsia="Charter" w:hAnsi="Charter" w:cs="Charter"/>
        </w:rPr>
        <w:t>polymerisation</w:t>
      </w:r>
      <w:proofErr w:type="spellEnd"/>
      <w:r w:rsidR="007144C3" w:rsidRPr="005F63D1">
        <w:rPr>
          <w:rFonts w:ascii="Charter" w:eastAsia="Charter" w:hAnsi="Charter" w:cs="Charter"/>
        </w:rPr>
        <w:t xml:space="preserve"> step for 10 min at 72˚C. The PCR product was submitted to electrophoresis in a 2% </w:t>
      </w:r>
      <w:proofErr w:type="spellStart"/>
      <w:r w:rsidR="007144C3" w:rsidRPr="005F63D1">
        <w:rPr>
          <w:rFonts w:ascii="Charter" w:eastAsia="Charter" w:hAnsi="Charter" w:cs="Charter"/>
        </w:rPr>
        <w:t>agarose</w:t>
      </w:r>
      <w:proofErr w:type="spellEnd"/>
      <w:r w:rsidR="007144C3" w:rsidRPr="005F63D1">
        <w:rPr>
          <w:rFonts w:ascii="Charter" w:eastAsia="Charter" w:hAnsi="Charter" w:cs="Charter"/>
        </w:rPr>
        <w:t xml:space="preserve"> gel(</w:t>
      </w:r>
      <w:proofErr w:type="spellStart"/>
      <w:r w:rsidR="007144C3" w:rsidRPr="005F63D1">
        <w:rPr>
          <w:rFonts w:ascii="Charter" w:eastAsia="Charter" w:hAnsi="Charter" w:cs="Charter"/>
        </w:rPr>
        <w:t>MetaPhor</w:t>
      </w:r>
      <w:proofErr w:type="spellEnd"/>
      <w:r w:rsidR="00C4421B" w:rsidRPr="005F63D1">
        <w:rPr>
          <w:rFonts w:ascii="Charter" w:eastAsia="Charter" w:hAnsi="Charter" w:cs="Charter"/>
        </w:rPr>
        <w:t xml:space="preserve"> </w:t>
      </w:r>
      <w:proofErr w:type="spellStart"/>
      <w:r w:rsidR="00C4421B" w:rsidRPr="005F63D1">
        <w:rPr>
          <w:rFonts w:ascii="Charter" w:eastAsia="Charter" w:hAnsi="Charter" w:cs="Charter"/>
        </w:rPr>
        <w:t>Agarose</w:t>
      </w:r>
      <w:proofErr w:type="spellEnd"/>
      <w:r w:rsidR="00C4421B" w:rsidRPr="005F63D1">
        <w:rPr>
          <w:rFonts w:ascii="Charter" w:eastAsia="Charter" w:hAnsi="Charter" w:cs="Charter"/>
        </w:rPr>
        <w:t xml:space="preserve">, </w:t>
      </w:r>
      <w:proofErr w:type="spellStart"/>
      <w:r w:rsidR="00C4421B" w:rsidRPr="005F63D1">
        <w:rPr>
          <w:rFonts w:ascii="Charter" w:eastAsia="Charter" w:hAnsi="Charter" w:cs="Charter"/>
        </w:rPr>
        <w:t>Cambrex</w:t>
      </w:r>
      <w:proofErr w:type="spellEnd"/>
      <w:r w:rsidR="00C4421B" w:rsidRPr="005F63D1">
        <w:rPr>
          <w:rFonts w:ascii="Charter" w:eastAsia="Charter" w:hAnsi="Charter" w:cs="Charter"/>
        </w:rPr>
        <w:t xml:space="preserve"> Bio Science Inc</w:t>
      </w:r>
      <w:r w:rsidR="007144C3" w:rsidRPr="005F63D1">
        <w:rPr>
          <w:rFonts w:ascii="Charter" w:eastAsia="Charter" w:hAnsi="Charter" w:cs="Charter"/>
        </w:rPr>
        <w:t xml:space="preserve">). Lack of amplification signifies a null genotype. </w:t>
      </w:r>
    </w:p>
    <w:p w14:paraId="15C26856" w14:textId="5E297A71" w:rsidR="007144C3" w:rsidRPr="005F63D1" w:rsidRDefault="007144C3" w:rsidP="00202A73">
      <w:pPr>
        <w:pStyle w:val="Body"/>
        <w:jc w:val="both"/>
        <w:rPr>
          <w:rFonts w:ascii="Charter" w:eastAsia="Charter" w:hAnsi="Charter" w:cs="Charter"/>
        </w:rPr>
      </w:pPr>
    </w:p>
    <w:p w14:paraId="03C66D88" w14:textId="77777777" w:rsidR="00467AC0" w:rsidRPr="005F63D1" w:rsidRDefault="007144C3" w:rsidP="00202A73">
      <w:pPr>
        <w:pStyle w:val="Body"/>
        <w:jc w:val="both"/>
        <w:rPr>
          <w:rFonts w:ascii="Charter" w:eastAsia="Charter" w:hAnsi="Charter" w:cs="Charter"/>
          <w:lang w:val="en-GB"/>
        </w:rPr>
      </w:pPr>
      <w:r w:rsidRPr="005F63D1">
        <w:rPr>
          <w:rFonts w:ascii="Charter" w:eastAsia="Charter" w:hAnsi="Charter" w:cs="Charter"/>
        </w:rPr>
        <w:t>For TNFα, genotyping followed a PCR-RFLP protocol using the following primers: 5</w:t>
      </w:r>
      <w:r w:rsidRPr="005F63D1">
        <w:rPr>
          <w:rFonts w:ascii="Charter" w:eastAsia="Charter" w:hAnsi="Charter" w:cs="Charter"/>
          <w:lang w:val="en-GB"/>
        </w:rPr>
        <w:t>’-TCCCCAAAAGAAATGGAGGCAATA-3’ and 5’-GGTTTTGAGGGCCATGAGACGTCTGCTGGCTGGGTG-3’. The amplification conditions consisted of 12 min at 95˚</w:t>
      </w:r>
      <w:r w:rsidR="00934551" w:rsidRPr="005F63D1">
        <w:rPr>
          <w:rFonts w:ascii="Charter" w:eastAsia="Charter" w:hAnsi="Charter" w:cs="Charter"/>
          <w:lang w:val="en-GB"/>
        </w:rPr>
        <w:t xml:space="preserve">C, followed by 35 cycles of denaturation for 30 seconds at 95˚C, primer annealing for 30 seconds at 60˚C, elongation for 1 minute at 72˚C and 5 minutes for a final elongation at 72˚C. The amplified sequences were digested using 5 units of </w:t>
      </w:r>
      <w:proofErr w:type="spellStart"/>
      <w:r w:rsidR="00934551" w:rsidRPr="005F63D1">
        <w:rPr>
          <w:rFonts w:ascii="Charter" w:eastAsia="Charter" w:hAnsi="Charter" w:cs="Charter"/>
          <w:lang w:val="en-GB"/>
        </w:rPr>
        <w:t>NcoI</w:t>
      </w:r>
      <w:proofErr w:type="spellEnd"/>
      <w:r w:rsidR="00934551" w:rsidRPr="005F63D1">
        <w:rPr>
          <w:rFonts w:ascii="Charter" w:eastAsia="Charter" w:hAnsi="Charter" w:cs="Charter"/>
          <w:lang w:val="en-GB"/>
        </w:rPr>
        <w:t xml:space="preserve"> enzyme(Thermo Fisher Scientific Inc., MA, USA). The resulted fragments were separated on a 3% </w:t>
      </w:r>
      <w:proofErr w:type="spellStart"/>
      <w:r w:rsidR="00934551" w:rsidRPr="005F63D1">
        <w:rPr>
          <w:rFonts w:ascii="Charter" w:eastAsia="Charter" w:hAnsi="Charter" w:cs="Charter"/>
          <w:lang w:val="en-GB"/>
        </w:rPr>
        <w:t>agarose</w:t>
      </w:r>
      <w:proofErr w:type="spellEnd"/>
      <w:r w:rsidR="00934551" w:rsidRPr="005F63D1">
        <w:rPr>
          <w:rFonts w:ascii="Charter" w:eastAsia="Charter" w:hAnsi="Charter" w:cs="Charter"/>
          <w:lang w:val="en-GB"/>
        </w:rPr>
        <w:t xml:space="preserve"> gel(</w:t>
      </w:r>
      <w:proofErr w:type="spellStart"/>
      <w:r w:rsidR="00934551" w:rsidRPr="005F63D1">
        <w:rPr>
          <w:rFonts w:ascii="Charter" w:eastAsia="Charter" w:hAnsi="Charter" w:cs="Charter"/>
          <w:lang w:val="en-GB"/>
        </w:rPr>
        <w:t>MetaPhor</w:t>
      </w:r>
      <w:proofErr w:type="spellEnd"/>
      <w:r w:rsidR="00934551" w:rsidRPr="005F63D1">
        <w:rPr>
          <w:rFonts w:ascii="Charter" w:eastAsia="Charter" w:hAnsi="Charter" w:cs="Charter"/>
          <w:lang w:val="en-GB"/>
        </w:rPr>
        <w:t xml:space="preserve"> </w:t>
      </w:r>
      <w:proofErr w:type="spellStart"/>
      <w:r w:rsidR="00934551" w:rsidRPr="005F63D1">
        <w:rPr>
          <w:rFonts w:ascii="Charter" w:eastAsia="Charter" w:hAnsi="Charter" w:cs="Charter"/>
          <w:lang w:val="en-GB"/>
        </w:rPr>
        <w:t>Agarose</w:t>
      </w:r>
      <w:proofErr w:type="spellEnd"/>
      <w:r w:rsidR="00934551" w:rsidRPr="005F63D1">
        <w:rPr>
          <w:rFonts w:ascii="Charter" w:eastAsia="Charter" w:hAnsi="Charter" w:cs="Charter"/>
          <w:lang w:val="en-GB"/>
        </w:rPr>
        <w:t xml:space="preserve">, </w:t>
      </w:r>
      <w:proofErr w:type="spellStart"/>
      <w:r w:rsidR="00934551" w:rsidRPr="005F63D1">
        <w:rPr>
          <w:rFonts w:ascii="Charter" w:eastAsia="Charter" w:hAnsi="Charter" w:cs="Charter"/>
          <w:lang w:val="en-GB"/>
        </w:rPr>
        <w:t>Cambrex</w:t>
      </w:r>
      <w:proofErr w:type="spellEnd"/>
      <w:r w:rsidR="00934551" w:rsidRPr="005F63D1">
        <w:rPr>
          <w:rFonts w:ascii="Charter" w:eastAsia="Charter" w:hAnsi="Charter" w:cs="Charter"/>
          <w:lang w:val="en-GB"/>
        </w:rPr>
        <w:t xml:space="preserve"> Bio Science Inc.); the electrophoretic analysis revealed 3 banding patterns, corresponding to: A1A1 wild type homozygous genotype, </w:t>
      </w:r>
      <w:r w:rsidR="009F63D4" w:rsidRPr="005F63D1">
        <w:rPr>
          <w:rFonts w:ascii="Charter" w:eastAsia="Charter" w:hAnsi="Charter" w:cs="Charter"/>
          <w:lang w:val="en-GB"/>
        </w:rPr>
        <w:t xml:space="preserve">A1A2 heterozygous type and </w:t>
      </w:r>
      <w:r w:rsidR="00467AC0" w:rsidRPr="005F63D1">
        <w:rPr>
          <w:rFonts w:ascii="Charter" w:eastAsia="Charter" w:hAnsi="Charter" w:cs="Charter"/>
          <w:lang w:val="en-GB"/>
        </w:rPr>
        <w:t xml:space="preserve">A2A2 homozygous mutant genotype. </w:t>
      </w:r>
    </w:p>
    <w:p w14:paraId="784B1AA9" w14:textId="517B5706" w:rsidR="007144C3" w:rsidRPr="005F63D1" w:rsidRDefault="00467AC0" w:rsidP="00202A73">
      <w:pPr>
        <w:pStyle w:val="Body"/>
        <w:jc w:val="both"/>
        <w:rPr>
          <w:rFonts w:ascii="Charter" w:eastAsia="Charter" w:hAnsi="Charter" w:cs="Charter"/>
          <w:caps/>
          <w:lang w:val="en-GB"/>
        </w:rPr>
      </w:pPr>
      <w:r w:rsidRPr="005F63D1">
        <w:rPr>
          <w:rFonts w:ascii="Charter" w:eastAsia="Charter" w:hAnsi="Charter" w:cs="Charter"/>
          <w:caps/>
          <w:lang w:val="en-GB"/>
        </w:rPr>
        <w:t xml:space="preserve"> </w:t>
      </w:r>
    </w:p>
    <w:p w14:paraId="5889BE11" w14:textId="77777777" w:rsidR="007144C3" w:rsidRPr="005F63D1" w:rsidRDefault="007144C3" w:rsidP="00202A73">
      <w:pPr>
        <w:pStyle w:val="Body"/>
        <w:jc w:val="both"/>
        <w:rPr>
          <w:rFonts w:ascii="Charter" w:hAnsi="Charter"/>
        </w:rPr>
      </w:pPr>
    </w:p>
    <w:p w14:paraId="006092E9" w14:textId="6E29E6D7" w:rsidR="00517A28" w:rsidRPr="005F63D1" w:rsidRDefault="005161E7" w:rsidP="00202A73">
      <w:pPr>
        <w:pStyle w:val="Body"/>
        <w:jc w:val="both"/>
        <w:rPr>
          <w:rFonts w:ascii="Charter" w:eastAsia="Charter" w:hAnsi="Charter" w:cs="Charter"/>
        </w:rPr>
      </w:pPr>
      <w:r w:rsidRPr="005F63D1">
        <w:rPr>
          <w:rFonts w:ascii="Charter" w:hAnsi="Charter"/>
        </w:rPr>
        <w:t>2.4 Statistical Analysis</w:t>
      </w:r>
    </w:p>
    <w:p w14:paraId="13F0B3BD" w14:textId="77777777" w:rsidR="00517A28" w:rsidRPr="005F63D1" w:rsidRDefault="00517A28" w:rsidP="00202A73">
      <w:pPr>
        <w:pStyle w:val="Body"/>
        <w:jc w:val="both"/>
        <w:rPr>
          <w:rFonts w:ascii="Charter" w:eastAsia="Charter" w:hAnsi="Charter" w:cs="Charter"/>
        </w:rPr>
      </w:pPr>
    </w:p>
    <w:p w14:paraId="142C0AE4" w14:textId="77777777" w:rsidR="00517A28" w:rsidRPr="005F63D1" w:rsidRDefault="005161E7" w:rsidP="00202A73">
      <w:pPr>
        <w:pStyle w:val="Body"/>
        <w:jc w:val="both"/>
        <w:rPr>
          <w:rFonts w:ascii="Charter" w:eastAsia="Charter" w:hAnsi="Charter" w:cs="Charter"/>
        </w:rPr>
      </w:pPr>
      <w:r w:rsidRPr="005F63D1">
        <w:rPr>
          <w:rFonts w:ascii="Charter" w:hAnsi="Charter"/>
        </w:rPr>
        <w:t xml:space="preserve">Statistical analysis was performed by the use of SPSS for MacBook software (SPSS, Inc. Chicago, IL). Hardy-Weinberg Equilibrium was measured  using The Chi-squared (χ2) test. The continuous variables  were presented as mean ± SD and categorical variables as percentages. The Pearson’s χ2 test and phi coefficient compared demographic and clinical data. Serum adiponectin and TNF-alpha concentrations were compared between subgroups using </w:t>
      </w:r>
      <w:r w:rsidRPr="005F63D1">
        <w:rPr>
          <w:rFonts w:ascii="Charter" w:hAnsi="Charter"/>
          <w:lang w:val="de-DE"/>
        </w:rPr>
        <w:t>Mann</w:t>
      </w:r>
      <w:r w:rsidRPr="005F63D1">
        <w:rPr>
          <w:rFonts w:ascii="Charter" w:hAnsi="Charter"/>
        </w:rPr>
        <w:t xml:space="preserve">–Whitney </w:t>
      </w:r>
      <w:r w:rsidRPr="005F63D1">
        <w:rPr>
          <w:rFonts w:ascii="Charter" w:hAnsi="Charter"/>
          <w:i/>
          <w:iCs/>
        </w:rPr>
        <w:t>U</w:t>
      </w:r>
      <w:r w:rsidRPr="005F63D1">
        <w:rPr>
          <w:rFonts w:ascii="Charter" w:hAnsi="Charter"/>
        </w:rPr>
        <w:t xml:space="preserve"> or </w:t>
      </w:r>
      <w:r w:rsidRPr="005F63D1">
        <w:rPr>
          <w:rFonts w:ascii="Charter" w:hAnsi="Charter"/>
          <w:lang w:val="de-DE"/>
        </w:rPr>
        <w:t>Student</w:t>
      </w:r>
      <w:r w:rsidRPr="005F63D1">
        <w:rPr>
          <w:rFonts w:ascii="Charter" w:hAnsi="Charter"/>
        </w:rPr>
        <w:t xml:space="preserve">’s </w:t>
      </w:r>
      <w:r w:rsidRPr="005F63D1">
        <w:rPr>
          <w:rFonts w:ascii="Charter" w:hAnsi="Charter"/>
          <w:i/>
          <w:iCs/>
        </w:rPr>
        <w:t>t</w:t>
      </w:r>
      <w:r w:rsidRPr="005F63D1">
        <w:rPr>
          <w:rFonts w:ascii="Charter" w:hAnsi="Charter"/>
        </w:rPr>
        <w:t xml:space="preserve"> tests and the correlations with continuous variables were calculated by the use of Spearman  or Pearson coefficients. The association between HbA1c and other serum parameters was carried out by a multivariate linear regression model. The examined allelic polymorphisms among cases and controls was tested using Fisher’s exact test (OR with 95% confidence intervals). Log linear analysis was used to determine the susceptibility of GSTM and GSTT polymorphisms for diabetes. Significant difference between groups  was considered at a p-value &lt;0.05.</w:t>
      </w:r>
    </w:p>
    <w:p w14:paraId="78AA9BA1" w14:textId="77777777" w:rsidR="00517A28" w:rsidRPr="005F63D1" w:rsidRDefault="00517A28" w:rsidP="00202A73">
      <w:pPr>
        <w:pStyle w:val="Body"/>
        <w:jc w:val="both"/>
        <w:rPr>
          <w:rFonts w:ascii="Charter" w:eastAsia="Charter" w:hAnsi="Charter" w:cs="Charter"/>
          <w:sz w:val="24"/>
          <w:szCs w:val="24"/>
        </w:rPr>
      </w:pPr>
    </w:p>
    <w:p w14:paraId="44217AD6" w14:textId="77777777" w:rsidR="00517A28" w:rsidRPr="005F63D1" w:rsidRDefault="00517A28" w:rsidP="00202A73">
      <w:pPr>
        <w:pStyle w:val="Body"/>
        <w:jc w:val="both"/>
        <w:rPr>
          <w:rFonts w:ascii="Charter" w:eastAsia="Charter" w:hAnsi="Charter" w:cs="Charter"/>
          <w:sz w:val="24"/>
          <w:szCs w:val="24"/>
        </w:rPr>
      </w:pPr>
    </w:p>
    <w:p w14:paraId="53723FD4" w14:textId="77777777" w:rsidR="00517A28" w:rsidRPr="005F63D1" w:rsidRDefault="00517A28" w:rsidP="00202A73">
      <w:pPr>
        <w:pStyle w:val="Body"/>
        <w:jc w:val="both"/>
        <w:rPr>
          <w:rFonts w:ascii="Charter" w:eastAsia="Charter" w:hAnsi="Charter" w:cs="Charter"/>
          <w:sz w:val="24"/>
          <w:szCs w:val="24"/>
        </w:rPr>
      </w:pPr>
    </w:p>
    <w:p w14:paraId="0D2D07F7" w14:textId="77777777" w:rsidR="00517A28" w:rsidRPr="005F63D1" w:rsidRDefault="005161E7" w:rsidP="00202A73">
      <w:pPr>
        <w:pStyle w:val="Body"/>
        <w:jc w:val="both"/>
        <w:rPr>
          <w:rFonts w:ascii="Charter" w:eastAsia="Charter" w:hAnsi="Charter" w:cs="Charter"/>
        </w:rPr>
      </w:pPr>
      <w:r w:rsidRPr="005F63D1">
        <w:rPr>
          <w:rFonts w:ascii="Charter" w:hAnsi="Charter"/>
        </w:rPr>
        <w:t xml:space="preserve">3. </w:t>
      </w:r>
      <w:r w:rsidRPr="005F63D1">
        <w:rPr>
          <w:rFonts w:ascii="Charter" w:hAnsi="Charter"/>
          <w:b/>
          <w:bCs/>
        </w:rPr>
        <w:t>Results</w:t>
      </w:r>
    </w:p>
    <w:p w14:paraId="139755B1" w14:textId="77777777" w:rsidR="00517A28" w:rsidRPr="005F63D1" w:rsidRDefault="005161E7" w:rsidP="00202A73">
      <w:pPr>
        <w:pStyle w:val="Default"/>
        <w:spacing w:after="160"/>
        <w:jc w:val="both"/>
        <w:rPr>
          <w:rFonts w:ascii="Charter" w:eastAsia="Charter" w:hAnsi="Charter" w:cs="Charter"/>
          <w:u w:color="000000"/>
        </w:rPr>
      </w:pPr>
      <w:r w:rsidRPr="005F63D1">
        <w:rPr>
          <w:rFonts w:ascii="Charter" w:hAnsi="Charter"/>
          <w:u w:color="000000"/>
        </w:rPr>
        <w:t xml:space="preserve">3.1 Demographic study </w:t>
      </w:r>
    </w:p>
    <w:p w14:paraId="2FBF1B4D" w14:textId="77777777" w:rsidR="00517A28" w:rsidRPr="005F63D1" w:rsidRDefault="005161E7" w:rsidP="00202A73">
      <w:pPr>
        <w:pStyle w:val="Body"/>
        <w:jc w:val="both"/>
        <w:rPr>
          <w:rFonts w:ascii="Charter" w:eastAsia="Charter" w:hAnsi="Charter" w:cs="Charter"/>
        </w:rPr>
      </w:pPr>
      <w:r w:rsidRPr="005F63D1">
        <w:rPr>
          <w:rFonts w:ascii="Charter" w:hAnsi="Charter"/>
        </w:rPr>
        <w:t xml:space="preserve">The characteristics of the type 1 diabetic subjects ( n=72) regarding demographic and clinical data are presented in </w:t>
      </w:r>
      <w:r w:rsidRPr="005F63D1">
        <w:rPr>
          <w:rFonts w:ascii="Charter" w:hAnsi="Charter"/>
          <w:b/>
          <w:bCs/>
        </w:rPr>
        <w:t>table 1</w:t>
      </w:r>
      <w:r w:rsidRPr="005F63D1">
        <w:rPr>
          <w:rFonts w:ascii="Charter" w:hAnsi="Charter"/>
        </w:rPr>
        <w:t xml:space="preserve">. The control group was composed of 90 healthy individuals with biochemical parameters and clinical data in normal limits. The serum adiponectin and TNF-alpha concentrations were not determined for the control group. There was reported a difference in age mean, but with no influence on the variant genes investigated. </w:t>
      </w:r>
    </w:p>
    <w:p w14:paraId="5187350F" w14:textId="77777777" w:rsidR="00517A28" w:rsidRPr="005F63D1" w:rsidRDefault="00517A28">
      <w:pPr>
        <w:pStyle w:val="Body"/>
        <w:rPr>
          <w:rFonts w:ascii="Charter" w:eastAsia="Charter" w:hAnsi="Charter" w:cs="Charter"/>
          <w:sz w:val="24"/>
          <w:szCs w:val="24"/>
        </w:rPr>
      </w:pPr>
    </w:p>
    <w:tbl>
      <w:tblPr>
        <w:tblStyle w:val="TableNormal1"/>
        <w:tblW w:w="57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035"/>
        <w:gridCol w:w="1737"/>
      </w:tblGrid>
      <w:tr w:rsidR="00517A28" w:rsidRPr="005F63D1" w14:paraId="11E51FC0" w14:textId="77777777">
        <w:trPr>
          <w:trHeight w:val="249"/>
        </w:trPr>
        <w:tc>
          <w:tcPr>
            <w:tcW w:w="4035" w:type="dxa"/>
            <w:tcBorders>
              <w:top w:val="single" w:sz="4"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vAlign w:val="bottom"/>
          </w:tcPr>
          <w:p w14:paraId="4B0B635B" w14:textId="77777777" w:rsidR="00517A28" w:rsidRPr="005F63D1" w:rsidRDefault="005161E7">
            <w:pPr>
              <w:pStyle w:val="Body"/>
              <w:rPr>
                <w:rFonts w:ascii="Charter" w:hAnsi="Charter"/>
              </w:rPr>
            </w:pPr>
            <w:r w:rsidRPr="005F63D1">
              <w:rPr>
                <w:rFonts w:ascii="Charter" w:hAnsi="Charter"/>
                <w:b/>
                <w:bCs/>
                <w:sz w:val="20"/>
                <w:szCs w:val="20"/>
              </w:rPr>
              <w:t>Parameters</w:t>
            </w:r>
          </w:p>
        </w:tc>
        <w:tc>
          <w:tcPr>
            <w:tcW w:w="1737" w:type="dxa"/>
            <w:tcBorders>
              <w:top w:val="single" w:sz="4" w:space="0" w:color="000000"/>
              <w:left w:val="single" w:sz="8" w:space="0" w:color="FFFFFF"/>
              <w:bottom w:val="single" w:sz="8" w:space="0" w:color="000000"/>
              <w:right w:val="nil"/>
            </w:tcBorders>
            <w:shd w:val="clear" w:color="auto" w:fill="auto"/>
            <w:tcMar>
              <w:top w:w="80" w:type="dxa"/>
              <w:left w:w="80" w:type="dxa"/>
              <w:bottom w:w="80" w:type="dxa"/>
              <w:right w:w="80" w:type="dxa"/>
            </w:tcMar>
            <w:vAlign w:val="bottom"/>
          </w:tcPr>
          <w:p w14:paraId="0EEF6AE9" w14:textId="77777777" w:rsidR="00517A28" w:rsidRPr="005F63D1" w:rsidRDefault="005161E7">
            <w:pPr>
              <w:pStyle w:val="Body"/>
              <w:rPr>
                <w:rFonts w:ascii="Charter" w:hAnsi="Charter"/>
              </w:rPr>
            </w:pPr>
            <w:r w:rsidRPr="005F63D1">
              <w:rPr>
                <w:rFonts w:ascii="Charter" w:hAnsi="Charter"/>
                <w:b/>
                <w:bCs/>
                <w:sz w:val="20"/>
                <w:szCs w:val="20"/>
              </w:rPr>
              <w:t>Cases (n=72)</w:t>
            </w:r>
          </w:p>
        </w:tc>
      </w:tr>
      <w:tr w:rsidR="00517A28" w:rsidRPr="005F63D1" w14:paraId="0DCE8332" w14:textId="77777777">
        <w:trPr>
          <w:trHeight w:val="254"/>
        </w:trPr>
        <w:tc>
          <w:tcPr>
            <w:tcW w:w="4035" w:type="dxa"/>
            <w:tcBorders>
              <w:top w:val="single" w:sz="8" w:space="0" w:color="000000"/>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bottom"/>
          </w:tcPr>
          <w:p w14:paraId="1DFFB795" w14:textId="77777777" w:rsidR="00517A28" w:rsidRPr="005F63D1" w:rsidRDefault="005161E7">
            <w:pPr>
              <w:pStyle w:val="Body"/>
              <w:rPr>
                <w:rFonts w:ascii="Charter" w:hAnsi="Charter"/>
              </w:rPr>
            </w:pPr>
            <w:r w:rsidRPr="005F63D1">
              <w:rPr>
                <w:rFonts w:ascii="Charter" w:hAnsi="Charter"/>
                <w:sz w:val="20"/>
                <w:szCs w:val="20"/>
              </w:rPr>
              <w:t>Age mean (years)</w:t>
            </w:r>
          </w:p>
        </w:tc>
        <w:tc>
          <w:tcPr>
            <w:tcW w:w="1737" w:type="dxa"/>
            <w:tcBorders>
              <w:top w:val="single" w:sz="8" w:space="0" w:color="000000"/>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763296C2" w14:textId="77777777" w:rsidR="00517A28" w:rsidRPr="005F63D1" w:rsidRDefault="005161E7">
            <w:pPr>
              <w:pStyle w:val="Body"/>
              <w:rPr>
                <w:rFonts w:ascii="Charter" w:hAnsi="Charter"/>
              </w:rPr>
            </w:pPr>
            <w:r w:rsidRPr="005F63D1">
              <w:rPr>
                <w:rFonts w:ascii="Charter" w:hAnsi="Charter"/>
                <w:sz w:val="20"/>
                <w:szCs w:val="20"/>
              </w:rPr>
              <w:t>11.93±4.27</w:t>
            </w:r>
          </w:p>
        </w:tc>
      </w:tr>
      <w:tr w:rsidR="00517A28" w:rsidRPr="005F63D1" w14:paraId="00460465" w14:textId="77777777">
        <w:trPr>
          <w:trHeight w:val="254"/>
        </w:trPr>
        <w:tc>
          <w:tcPr>
            <w:tcW w:w="403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vAlign w:val="bottom"/>
          </w:tcPr>
          <w:p w14:paraId="468BCC3C" w14:textId="77777777" w:rsidR="00517A28" w:rsidRPr="005F63D1" w:rsidRDefault="005161E7">
            <w:pPr>
              <w:pStyle w:val="Body"/>
              <w:rPr>
                <w:rFonts w:ascii="Charter" w:hAnsi="Charter"/>
              </w:rPr>
            </w:pPr>
            <w:r w:rsidRPr="005F63D1">
              <w:rPr>
                <w:rFonts w:ascii="Charter" w:hAnsi="Charter"/>
                <w:sz w:val="20"/>
                <w:szCs w:val="20"/>
              </w:rPr>
              <w:t>Age of onset (years)</w:t>
            </w:r>
          </w:p>
        </w:tc>
        <w:tc>
          <w:tcPr>
            <w:tcW w:w="1737"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vAlign w:val="center"/>
          </w:tcPr>
          <w:p w14:paraId="7C27070A" w14:textId="77777777" w:rsidR="00517A28" w:rsidRPr="005F63D1" w:rsidRDefault="005161E7">
            <w:pPr>
              <w:pStyle w:val="Body"/>
              <w:rPr>
                <w:rFonts w:ascii="Charter" w:hAnsi="Charter"/>
              </w:rPr>
            </w:pPr>
            <w:r w:rsidRPr="005F63D1">
              <w:rPr>
                <w:rFonts w:ascii="Charter" w:hAnsi="Charter"/>
                <w:sz w:val="20"/>
                <w:szCs w:val="20"/>
              </w:rPr>
              <w:t>6.84±3.97</w:t>
            </w:r>
          </w:p>
        </w:tc>
      </w:tr>
      <w:tr w:rsidR="00517A28" w:rsidRPr="005F63D1" w14:paraId="59082899" w14:textId="77777777">
        <w:trPr>
          <w:trHeight w:val="254"/>
        </w:trPr>
        <w:tc>
          <w:tcPr>
            <w:tcW w:w="4035"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bottom"/>
          </w:tcPr>
          <w:p w14:paraId="1923509D" w14:textId="77777777" w:rsidR="00517A28" w:rsidRPr="005F63D1" w:rsidRDefault="005161E7">
            <w:pPr>
              <w:pStyle w:val="Body"/>
              <w:rPr>
                <w:rFonts w:ascii="Charter" w:hAnsi="Charter"/>
              </w:rPr>
            </w:pPr>
            <w:r w:rsidRPr="005F63D1">
              <w:rPr>
                <w:rFonts w:ascii="Charter" w:hAnsi="Charter"/>
                <w:sz w:val="20"/>
                <w:szCs w:val="20"/>
              </w:rPr>
              <w:t>Male n (%)</w:t>
            </w:r>
          </w:p>
        </w:tc>
        <w:tc>
          <w:tcPr>
            <w:tcW w:w="173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7AD85A2B" w14:textId="77777777" w:rsidR="00517A28" w:rsidRPr="005F63D1" w:rsidRDefault="005161E7">
            <w:pPr>
              <w:pStyle w:val="Body"/>
              <w:rPr>
                <w:rFonts w:ascii="Charter" w:hAnsi="Charter"/>
              </w:rPr>
            </w:pPr>
            <w:r w:rsidRPr="005F63D1">
              <w:rPr>
                <w:rFonts w:ascii="Charter" w:hAnsi="Charter"/>
                <w:sz w:val="20"/>
                <w:szCs w:val="20"/>
              </w:rPr>
              <w:t>33(45.83)</w:t>
            </w:r>
          </w:p>
        </w:tc>
      </w:tr>
      <w:tr w:rsidR="00517A28" w:rsidRPr="005F63D1" w14:paraId="280E5A1F" w14:textId="77777777">
        <w:trPr>
          <w:trHeight w:val="254"/>
        </w:trPr>
        <w:tc>
          <w:tcPr>
            <w:tcW w:w="403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vAlign w:val="bottom"/>
          </w:tcPr>
          <w:p w14:paraId="290A671A" w14:textId="77777777" w:rsidR="00517A28" w:rsidRPr="005F63D1" w:rsidRDefault="005161E7">
            <w:pPr>
              <w:pStyle w:val="Body"/>
              <w:rPr>
                <w:rFonts w:ascii="Charter" w:hAnsi="Charter"/>
              </w:rPr>
            </w:pPr>
            <w:r w:rsidRPr="005F63D1">
              <w:rPr>
                <w:rFonts w:ascii="Charter" w:hAnsi="Charter"/>
                <w:sz w:val="20"/>
                <w:szCs w:val="20"/>
              </w:rPr>
              <w:lastRenderedPageBreak/>
              <w:t>Female n (%)</w:t>
            </w:r>
          </w:p>
        </w:tc>
        <w:tc>
          <w:tcPr>
            <w:tcW w:w="1737"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vAlign w:val="center"/>
          </w:tcPr>
          <w:p w14:paraId="0F220B0B" w14:textId="77777777" w:rsidR="00517A28" w:rsidRPr="005F63D1" w:rsidRDefault="005161E7">
            <w:pPr>
              <w:pStyle w:val="Body"/>
              <w:rPr>
                <w:rFonts w:ascii="Charter" w:hAnsi="Charter"/>
              </w:rPr>
            </w:pPr>
            <w:r w:rsidRPr="005F63D1">
              <w:rPr>
                <w:rFonts w:ascii="Charter" w:hAnsi="Charter"/>
                <w:sz w:val="20"/>
                <w:szCs w:val="20"/>
              </w:rPr>
              <w:t>39 (54.16)</w:t>
            </w:r>
          </w:p>
        </w:tc>
      </w:tr>
      <w:tr w:rsidR="00517A28" w:rsidRPr="005F63D1" w14:paraId="33DD626D" w14:textId="77777777">
        <w:trPr>
          <w:trHeight w:val="254"/>
        </w:trPr>
        <w:tc>
          <w:tcPr>
            <w:tcW w:w="4035"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bottom"/>
          </w:tcPr>
          <w:p w14:paraId="49A428C9" w14:textId="77777777" w:rsidR="00517A28" w:rsidRPr="005F63D1" w:rsidRDefault="005161E7">
            <w:pPr>
              <w:pStyle w:val="Body"/>
              <w:rPr>
                <w:rFonts w:ascii="Charter" w:hAnsi="Charter"/>
              </w:rPr>
            </w:pPr>
            <w:r w:rsidRPr="005F63D1">
              <w:rPr>
                <w:rFonts w:ascii="Charter" w:hAnsi="Charter"/>
                <w:sz w:val="20"/>
                <w:szCs w:val="20"/>
              </w:rPr>
              <w:t>Body mass index (kg/m2)</w:t>
            </w:r>
          </w:p>
        </w:tc>
        <w:tc>
          <w:tcPr>
            <w:tcW w:w="173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39BD7279" w14:textId="77777777" w:rsidR="00517A28" w:rsidRPr="005F63D1" w:rsidRDefault="005161E7">
            <w:pPr>
              <w:pStyle w:val="Body"/>
              <w:rPr>
                <w:rFonts w:ascii="Charter" w:hAnsi="Charter"/>
              </w:rPr>
            </w:pPr>
            <w:r w:rsidRPr="005F63D1">
              <w:rPr>
                <w:rFonts w:ascii="Charter" w:hAnsi="Charter"/>
                <w:sz w:val="20"/>
                <w:szCs w:val="20"/>
              </w:rPr>
              <w:t>18.83±3.36</w:t>
            </w:r>
          </w:p>
        </w:tc>
      </w:tr>
      <w:tr w:rsidR="00517A28" w:rsidRPr="005F63D1" w14:paraId="33C17F76" w14:textId="77777777">
        <w:trPr>
          <w:trHeight w:val="254"/>
        </w:trPr>
        <w:tc>
          <w:tcPr>
            <w:tcW w:w="403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vAlign w:val="bottom"/>
          </w:tcPr>
          <w:p w14:paraId="4F15BA9A" w14:textId="77777777" w:rsidR="00517A28" w:rsidRPr="005F63D1" w:rsidRDefault="005161E7">
            <w:pPr>
              <w:pStyle w:val="Body"/>
              <w:rPr>
                <w:rFonts w:ascii="Charter" w:hAnsi="Charter"/>
              </w:rPr>
            </w:pPr>
            <w:r w:rsidRPr="005F63D1">
              <w:rPr>
                <w:rFonts w:ascii="Charter" w:hAnsi="Charter"/>
                <w:sz w:val="20"/>
                <w:szCs w:val="20"/>
              </w:rPr>
              <w:t>Weight (kg)</w:t>
            </w:r>
          </w:p>
        </w:tc>
        <w:tc>
          <w:tcPr>
            <w:tcW w:w="1737"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vAlign w:val="center"/>
          </w:tcPr>
          <w:p w14:paraId="0FA478F8" w14:textId="77777777" w:rsidR="00517A28" w:rsidRPr="005F63D1" w:rsidRDefault="005161E7">
            <w:pPr>
              <w:pStyle w:val="Body"/>
              <w:rPr>
                <w:rFonts w:ascii="Charter" w:hAnsi="Charter"/>
              </w:rPr>
            </w:pPr>
            <w:r w:rsidRPr="005F63D1">
              <w:rPr>
                <w:rFonts w:ascii="Charter" w:hAnsi="Charter"/>
                <w:sz w:val="20"/>
                <w:szCs w:val="20"/>
              </w:rPr>
              <w:t>44.89±17.4</w:t>
            </w:r>
          </w:p>
        </w:tc>
      </w:tr>
      <w:tr w:rsidR="00517A28" w:rsidRPr="005F63D1" w14:paraId="6F7DF237" w14:textId="77777777">
        <w:trPr>
          <w:trHeight w:val="254"/>
        </w:trPr>
        <w:tc>
          <w:tcPr>
            <w:tcW w:w="4035"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bottom"/>
          </w:tcPr>
          <w:p w14:paraId="2143A2A4" w14:textId="77777777" w:rsidR="00517A28" w:rsidRPr="005F63D1" w:rsidRDefault="005161E7">
            <w:pPr>
              <w:pStyle w:val="Body"/>
              <w:rPr>
                <w:rFonts w:ascii="Charter" w:hAnsi="Charter"/>
              </w:rPr>
            </w:pPr>
            <w:r w:rsidRPr="005F63D1">
              <w:rPr>
                <w:rFonts w:ascii="Charter" w:hAnsi="Charter"/>
                <w:sz w:val="20"/>
                <w:szCs w:val="20"/>
              </w:rPr>
              <w:t>Systolic blood pressure (mmHg)</w:t>
            </w:r>
          </w:p>
        </w:tc>
        <w:tc>
          <w:tcPr>
            <w:tcW w:w="173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3AC34013" w14:textId="77777777" w:rsidR="00517A28" w:rsidRPr="005F63D1" w:rsidRDefault="005161E7">
            <w:pPr>
              <w:pStyle w:val="Body"/>
              <w:rPr>
                <w:rFonts w:ascii="Charter" w:hAnsi="Charter"/>
              </w:rPr>
            </w:pPr>
            <w:r w:rsidRPr="005F63D1">
              <w:rPr>
                <w:rFonts w:ascii="Charter" w:hAnsi="Charter"/>
                <w:sz w:val="20"/>
                <w:szCs w:val="20"/>
              </w:rPr>
              <w:t>100.2±11.85</w:t>
            </w:r>
          </w:p>
        </w:tc>
      </w:tr>
      <w:tr w:rsidR="00517A28" w:rsidRPr="005F63D1" w14:paraId="4CCE17C3" w14:textId="77777777">
        <w:trPr>
          <w:trHeight w:val="254"/>
        </w:trPr>
        <w:tc>
          <w:tcPr>
            <w:tcW w:w="403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vAlign w:val="bottom"/>
          </w:tcPr>
          <w:p w14:paraId="4DC2159A" w14:textId="77777777" w:rsidR="00517A28" w:rsidRPr="005F63D1" w:rsidRDefault="005161E7">
            <w:pPr>
              <w:pStyle w:val="Body"/>
              <w:rPr>
                <w:rFonts w:ascii="Charter" w:hAnsi="Charter"/>
              </w:rPr>
            </w:pPr>
            <w:r w:rsidRPr="005F63D1">
              <w:rPr>
                <w:rFonts w:ascii="Charter" w:hAnsi="Charter"/>
                <w:sz w:val="20"/>
                <w:szCs w:val="20"/>
              </w:rPr>
              <w:t>Diastolic blood pressure (mmHg)</w:t>
            </w:r>
          </w:p>
        </w:tc>
        <w:tc>
          <w:tcPr>
            <w:tcW w:w="1737"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vAlign w:val="center"/>
          </w:tcPr>
          <w:p w14:paraId="29C384E5" w14:textId="77777777" w:rsidR="00517A28" w:rsidRPr="005F63D1" w:rsidRDefault="005161E7">
            <w:pPr>
              <w:pStyle w:val="Body"/>
              <w:rPr>
                <w:rFonts w:ascii="Charter" w:hAnsi="Charter"/>
              </w:rPr>
            </w:pPr>
            <w:r w:rsidRPr="005F63D1">
              <w:rPr>
                <w:rFonts w:ascii="Charter" w:hAnsi="Charter"/>
                <w:sz w:val="20"/>
                <w:szCs w:val="20"/>
              </w:rPr>
              <w:t>54.72±10.64</w:t>
            </w:r>
          </w:p>
        </w:tc>
      </w:tr>
      <w:tr w:rsidR="00517A28" w:rsidRPr="005F63D1" w14:paraId="121FB317" w14:textId="77777777">
        <w:trPr>
          <w:trHeight w:val="254"/>
        </w:trPr>
        <w:tc>
          <w:tcPr>
            <w:tcW w:w="4035"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bottom"/>
          </w:tcPr>
          <w:p w14:paraId="19727420" w14:textId="77777777" w:rsidR="00517A28" w:rsidRPr="005F63D1" w:rsidRDefault="005161E7">
            <w:pPr>
              <w:pStyle w:val="Body"/>
              <w:rPr>
                <w:rFonts w:ascii="Charter" w:hAnsi="Charter"/>
              </w:rPr>
            </w:pPr>
            <w:r w:rsidRPr="005F63D1">
              <w:rPr>
                <w:rFonts w:ascii="Charter" w:hAnsi="Charter"/>
                <w:sz w:val="20"/>
                <w:szCs w:val="20"/>
              </w:rPr>
              <w:t>Cholesterol (mg/dL)</w:t>
            </w:r>
          </w:p>
        </w:tc>
        <w:tc>
          <w:tcPr>
            <w:tcW w:w="173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56DDB2C2" w14:textId="77777777" w:rsidR="00517A28" w:rsidRPr="005F63D1" w:rsidRDefault="005161E7">
            <w:pPr>
              <w:pStyle w:val="Body"/>
              <w:rPr>
                <w:rFonts w:ascii="Charter" w:hAnsi="Charter"/>
              </w:rPr>
            </w:pPr>
            <w:r w:rsidRPr="005F63D1">
              <w:rPr>
                <w:rFonts w:ascii="Charter" w:hAnsi="Charter"/>
                <w:sz w:val="20"/>
                <w:szCs w:val="20"/>
              </w:rPr>
              <w:t>169.56±41.02</w:t>
            </w:r>
          </w:p>
        </w:tc>
      </w:tr>
      <w:tr w:rsidR="00517A28" w:rsidRPr="005F63D1" w14:paraId="0175C10C" w14:textId="77777777">
        <w:trPr>
          <w:trHeight w:val="254"/>
        </w:trPr>
        <w:tc>
          <w:tcPr>
            <w:tcW w:w="403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vAlign w:val="bottom"/>
          </w:tcPr>
          <w:p w14:paraId="6526416F" w14:textId="77777777" w:rsidR="00517A28" w:rsidRPr="005F63D1" w:rsidRDefault="005161E7">
            <w:pPr>
              <w:pStyle w:val="Body"/>
              <w:rPr>
                <w:rFonts w:ascii="Charter" w:hAnsi="Charter"/>
              </w:rPr>
            </w:pPr>
            <w:r w:rsidRPr="005F63D1">
              <w:rPr>
                <w:rFonts w:ascii="Charter" w:hAnsi="Charter"/>
                <w:sz w:val="20"/>
                <w:szCs w:val="20"/>
              </w:rPr>
              <w:t>HDL (mg/dL)</w:t>
            </w:r>
          </w:p>
        </w:tc>
        <w:tc>
          <w:tcPr>
            <w:tcW w:w="1737"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vAlign w:val="center"/>
          </w:tcPr>
          <w:p w14:paraId="07A9357D" w14:textId="77777777" w:rsidR="00517A28" w:rsidRPr="005F63D1" w:rsidRDefault="005161E7">
            <w:pPr>
              <w:pStyle w:val="Body"/>
              <w:rPr>
                <w:rFonts w:ascii="Charter" w:hAnsi="Charter"/>
              </w:rPr>
            </w:pPr>
            <w:r w:rsidRPr="005F63D1">
              <w:rPr>
                <w:rFonts w:ascii="Charter" w:hAnsi="Charter"/>
                <w:sz w:val="20"/>
                <w:szCs w:val="20"/>
              </w:rPr>
              <w:t>54.47±11.27</w:t>
            </w:r>
          </w:p>
        </w:tc>
      </w:tr>
      <w:tr w:rsidR="00517A28" w:rsidRPr="005F63D1" w14:paraId="5E3FCCF8" w14:textId="77777777">
        <w:trPr>
          <w:trHeight w:val="254"/>
        </w:trPr>
        <w:tc>
          <w:tcPr>
            <w:tcW w:w="4035"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bottom"/>
          </w:tcPr>
          <w:p w14:paraId="1D7BAB86" w14:textId="77777777" w:rsidR="00517A28" w:rsidRPr="005F63D1" w:rsidRDefault="005161E7">
            <w:pPr>
              <w:pStyle w:val="Body"/>
              <w:rPr>
                <w:rFonts w:ascii="Charter" w:hAnsi="Charter"/>
              </w:rPr>
            </w:pPr>
            <w:r w:rsidRPr="005F63D1">
              <w:rPr>
                <w:rFonts w:ascii="Charter" w:hAnsi="Charter"/>
                <w:sz w:val="20"/>
                <w:szCs w:val="20"/>
              </w:rPr>
              <w:t>Triglyceride (mg/dL)</w:t>
            </w:r>
          </w:p>
        </w:tc>
        <w:tc>
          <w:tcPr>
            <w:tcW w:w="173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2C6FF612" w14:textId="77777777" w:rsidR="00517A28" w:rsidRPr="005F63D1" w:rsidRDefault="005161E7">
            <w:pPr>
              <w:pStyle w:val="Body"/>
              <w:rPr>
                <w:rFonts w:ascii="Charter" w:hAnsi="Charter"/>
              </w:rPr>
            </w:pPr>
            <w:r w:rsidRPr="005F63D1">
              <w:rPr>
                <w:rFonts w:ascii="Charter" w:hAnsi="Charter"/>
                <w:sz w:val="20"/>
                <w:szCs w:val="20"/>
              </w:rPr>
              <w:t>85.32±48.5</w:t>
            </w:r>
          </w:p>
        </w:tc>
      </w:tr>
      <w:tr w:rsidR="00517A28" w:rsidRPr="005F63D1" w14:paraId="07F92FFA" w14:textId="77777777">
        <w:trPr>
          <w:trHeight w:val="254"/>
        </w:trPr>
        <w:tc>
          <w:tcPr>
            <w:tcW w:w="403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vAlign w:val="bottom"/>
          </w:tcPr>
          <w:p w14:paraId="50A71FAB" w14:textId="77777777" w:rsidR="00517A28" w:rsidRPr="005F63D1" w:rsidRDefault="005161E7">
            <w:pPr>
              <w:pStyle w:val="Body"/>
              <w:rPr>
                <w:rFonts w:ascii="Charter" w:hAnsi="Charter"/>
              </w:rPr>
            </w:pPr>
            <w:r w:rsidRPr="005F63D1">
              <w:rPr>
                <w:rFonts w:ascii="Charter" w:hAnsi="Charter"/>
                <w:sz w:val="20"/>
                <w:szCs w:val="20"/>
              </w:rPr>
              <w:t>HbA1c (%)</w:t>
            </w:r>
          </w:p>
        </w:tc>
        <w:tc>
          <w:tcPr>
            <w:tcW w:w="1737"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vAlign w:val="center"/>
          </w:tcPr>
          <w:p w14:paraId="3676D5EA" w14:textId="77777777" w:rsidR="00517A28" w:rsidRPr="005F63D1" w:rsidRDefault="005161E7">
            <w:pPr>
              <w:pStyle w:val="Body"/>
              <w:rPr>
                <w:rFonts w:ascii="Charter" w:hAnsi="Charter"/>
              </w:rPr>
            </w:pPr>
            <w:r w:rsidRPr="005F63D1">
              <w:rPr>
                <w:rFonts w:ascii="Charter" w:hAnsi="Charter"/>
                <w:sz w:val="20"/>
                <w:szCs w:val="20"/>
              </w:rPr>
              <w:t>8.8±1.74</w:t>
            </w:r>
          </w:p>
        </w:tc>
      </w:tr>
      <w:tr w:rsidR="00517A28" w:rsidRPr="005F63D1" w14:paraId="2643B37C" w14:textId="77777777">
        <w:trPr>
          <w:trHeight w:val="254"/>
        </w:trPr>
        <w:tc>
          <w:tcPr>
            <w:tcW w:w="4035"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bottom"/>
          </w:tcPr>
          <w:p w14:paraId="7DB2459C" w14:textId="77777777" w:rsidR="00517A28" w:rsidRPr="005F63D1" w:rsidRDefault="005161E7">
            <w:pPr>
              <w:pStyle w:val="Body"/>
              <w:rPr>
                <w:rFonts w:ascii="Charter" w:hAnsi="Charter"/>
              </w:rPr>
            </w:pPr>
            <w:proofErr w:type="spellStart"/>
            <w:r w:rsidRPr="005F63D1">
              <w:rPr>
                <w:rFonts w:ascii="Charter" w:hAnsi="Charter"/>
                <w:sz w:val="20"/>
                <w:szCs w:val="20"/>
              </w:rPr>
              <w:t>Adiponectin</w:t>
            </w:r>
            <w:proofErr w:type="spellEnd"/>
            <w:r w:rsidRPr="005F63D1">
              <w:rPr>
                <w:rFonts w:ascii="Charter" w:hAnsi="Charter"/>
                <w:sz w:val="20"/>
                <w:szCs w:val="20"/>
              </w:rPr>
              <w:t xml:space="preserve"> (</w:t>
            </w:r>
            <w:proofErr w:type="spellStart"/>
            <w:r w:rsidRPr="005F63D1">
              <w:rPr>
                <w:rFonts w:ascii="Charter" w:hAnsi="Charter"/>
                <w:sz w:val="20"/>
                <w:szCs w:val="20"/>
              </w:rPr>
              <w:t>μg</w:t>
            </w:r>
            <w:proofErr w:type="spellEnd"/>
            <w:r w:rsidRPr="005F63D1">
              <w:rPr>
                <w:rFonts w:ascii="Charter" w:hAnsi="Charter"/>
                <w:sz w:val="20"/>
                <w:szCs w:val="20"/>
              </w:rPr>
              <w:t>/L)</w:t>
            </w:r>
          </w:p>
        </w:tc>
        <w:tc>
          <w:tcPr>
            <w:tcW w:w="173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3B256FED" w14:textId="77777777" w:rsidR="00517A28" w:rsidRPr="005F63D1" w:rsidRDefault="005161E7">
            <w:pPr>
              <w:pStyle w:val="Body"/>
              <w:rPr>
                <w:rFonts w:ascii="Charter" w:hAnsi="Charter"/>
              </w:rPr>
            </w:pPr>
            <w:r w:rsidRPr="005F63D1">
              <w:rPr>
                <w:rFonts w:ascii="Charter" w:hAnsi="Charter"/>
                <w:sz w:val="20"/>
                <w:szCs w:val="20"/>
              </w:rPr>
              <w:t>14.5±4.01</w:t>
            </w:r>
          </w:p>
        </w:tc>
      </w:tr>
      <w:tr w:rsidR="00517A28" w:rsidRPr="005F63D1" w14:paraId="7DADD72E" w14:textId="77777777">
        <w:trPr>
          <w:trHeight w:val="254"/>
        </w:trPr>
        <w:tc>
          <w:tcPr>
            <w:tcW w:w="403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vAlign w:val="bottom"/>
          </w:tcPr>
          <w:p w14:paraId="0E497477" w14:textId="77777777" w:rsidR="00517A28" w:rsidRPr="005F63D1" w:rsidRDefault="005161E7">
            <w:pPr>
              <w:pStyle w:val="Body"/>
              <w:rPr>
                <w:rFonts w:ascii="Charter" w:hAnsi="Charter"/>
              </w:rPr>
            </w:pPr>
            <w:r w:rsidRPr="005F63D1">
              <w:rPr>
                <w:rFonts w:ascii="Charter" w:hAnsi="Charter"/>
                <w:sz w:val="20"/>
                <w:szCs w:val="20"/>
              </w:rPr>
              <w:t xml:space="preserve">TNF </w:t>
            </w:r>
            <w:proofErr w:type="spellStart"/>
            <w:r w:rsidRPr="005F63D1">
              <w:rPr>
                <w:rFonts w:ascii="Charter" w:hAnsi="Charter"/>
                <w:sz w:val="20"/>
                <w:szCs w:val="20"/>
              </w:rPr>
              <w:t>alfa</w:t>
            </w:r>
            <w:proofErr w:type="spellEnd"/>
            <w:r w:rsidRPr="005F63D1">
              <w:rPr>
                <w:rFonts w:ascii="Charter" w:hAnsi="Charter"/>
                <w:sz w:val="20"/>
                <w:szCs w:val="20"/>
              </w:rPr>
              <w:t xml:space="preserve"> (</w:t>
            </w:r>
            <w:proofErr w:type="spellStart"/>
            <w:r w:rsidRPr="005F63D1">
              <w:rPr>
                <w:rFonts w:ascii="Charter" w:hAnsi="Charter"/>
                <w:sz w:val="20"/>
                <w:szCs w:val="20"/>
              </w:rPr>
              <w:t>pg</w:t>
            </w:r>
            <w:proofErr w:type="spellEnd"/>
            <w:r w:rsidRPr="005F63D1">
              <w:rPr>
                <w:rFonts w:ascii="Charter" w:hAnsi="Charter"/>
                <w:sz w:val="20"/>
                <w:szCs w:val="20"/>
              </w:rPr>
              <w:t>/mL)</w:t>
            </w:r>
          </w:p>
        </w:tc>
        <w:tc>
          <w:tcPr>
            <w:tcW w:w="1737"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vAlign w:val="center"/>
          </w:tcPr>
          <w:p w14:paraId="3305B998" w14:textId="77777777" w:rsidR="00517A28" w:rsidRPr="005F63D1" w:rsidRDefault="005161E7">
            <w:pPr>
              <w:pStyle w:val="Body"/>
              <w:rPr>
                <w:rFonts w:ascii="Charter" w:hAnsi="Charter"/>
              </w:rPr>
            </w:pPr>
            <w:r w:rsidRPr="005F63D1">
              <w:rPr>
                <w:rFonts w:ascii="Charter" w:hAnsi="Charter"/>
                <w:sz w:val="20"/>
                <w:szCs w:val="20"/>
              </w:rPr>
              <w:t>11.18±3.55</w:t>
            </w:r>
          </w:p>
        </w:tc>
      </w:tr>
      <w:tr w:rsidR="00517A28" w:rsidRPr="005F63D1" w14:paraId="6DA6B4CE" w14:textId="77777777">
        <w:trPr>
          <w:trHeight w:val="254"/>
        </w:trPr>
        <w:tc>
          <w:tcPr>
            <w:tcW w:w="4035"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bottom"/>
          </w:tcPr>
          <w:p w14:paraId="1124ED2F" w14:textId="77777777" w:rsidR="00517A28" w:rsidRPr="005F63D1" w:rsidRDefault="005161E7">
            <w:pPr>
              <w:pStyle w:val="Body"/>
              <w:rPr>
                <w:rFonts w:ascii="Charter" w:hAnsi="Charter"/>
              </w:rPr>
            </w:pPr>
            <w:r w:rsidRPr="005F63D1">
              <w:rPr>
                <w:rFonts w:ascii="Charter" w:hAnsi="Charter"/>
                <w:sz w:val="20"/>
                <w:szCs w:val="20"/>
              </w:rPr>
              <w:t>Insulin intake (UI/kg/day)</w:t>
            </w:r>
          </w:p>
        </w:tc>
        <w:tc>
          <w:tcPr>
            <w:tcW w:w="173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50ABE616" w14:textId="77777777" w:rsidR="00517A28" w:rsidRPr="005F63D1" w:rsidRDefault="005161E7">
            <w:pPr>
              <w:pStyle w:val="Body"/>
              <w:rPr>
                <w:rFonts w:ascii="Charter" w:hAnsi="Charter"/>
              </w:rPr>
            </w:pPr>
            <w:r w:rsidRPr="005F63D1">
              <w:rPr>
                <w:rFonts w:ascii="Charter" w:hAnsi="Charter"/>
                <w:sz w:val="20"/>
                <w:szCs w:val="20"/>
              </w:rPr>
              <w:t>0.95±0.27</w:t>
            </w:r>
          </w:p>
        </w:tc>
      </w:tr>
      <w:tr w:rsidR="00517A28" w:rsidRPr="005F63D1" w14:paraId="165F1945" w14:textId="77777777">
        <w:trPr>
          <w:trHeight w:val="254"/>
        </w:trPr>
        <w:tc>
          <w:tcPr>
            <w:tcW w:w="403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vAlign w:val="bottom"/>
          </w:tcPr>
          <w:p w14:paraId="2F73225F" w14:textId="77777777" w:rsidR="00517A28" w:rsidRPr="005F63D1" w:rsidRDefault="005161E7">
            <w:pPr>
              <w:pStyle w:val="Body"/>
              <w:rPr>
                <w:rFonts w:ascii="Charter" w:hAnsi="Charter"/>
              </w:rPr>
            </w:pPr>
            <w:r w:rsidRPr="005F63D1">
              <w:rPr>
                <w:rFonts w:ascii="Charter" w:hAnsi="Charter"/>
                <w:sz w:val="20"/>
                <w:szCs w:val="20"/>
                <w:lang w:val="fr-FR"/>
              </w:rPr>
              <w:t>Injections/</w:t>
            </w:r>
            <w:proofErr w:type="spellStart"/>
            <w:r w:rsidRPr="005F63D1">
              <w:rPr>
                <w:rFonts w:ascii="Charter" w:hAnsi="Charter"/>
                <w:sz w:val="20"/>
                <w:szCs w:val="20"/>
                <w:lang w:val="fr-FR"/>
              </w:rPr>
              <w:t>day</w:t>
            </w:r>
            <w:proofErr w:type="spellEnd"/>
            <w:r w:rsidRPr="005F63D1">
              <w:rPr>
                <w:rFonts w:ascii="Charter" w:hAnsi="Charter"/>
                <w:sz w:val="20"/>
                <w:szCs w:val="20"/>
              </w:rPr>
              <w:t xml:space="preserve"> n (%)</w:t>
            </w:r>
          </w:p>
        </w:tc>
        <w:tc>
          <w:tcPr>
            <w:tcW w:w="1737"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vAlign w:val="center"/>
          </w:tcPr>
          <w:p w14:paraId="6EFA60C3" w14:textId="77777777" w:rsidR="00517A28" w:rsidRPr="005F63D1" w:rsidRDefault="005161E7">
            <w:pPr>
              <w:pStyle w:val="Body"/>
              <w:rPr>
                <w:rFonts w:ascii="Charter" w:hAnsi="Charter"/>
              </w:rPr>
            </w:pPr>
            <w:r w:rsidRPr="005F63D1">
              <w:rPr>
                <w:rFonts w:ascii="Charter" w:hAnsi="Charter"/>
                <w:sz w:val="20"/>
                <w:szCs w:val="20"/>
              </w:rPr>
              <w:t>4.28±0.98</w:t>
            </w:r>
          </w:p>
        </w:tc>
      </w:tr>
      <w:tr w:rsidR="00517A28" w:rsidRPr="005F63D1" w14:paraId="201C1535" w14:textId="77777777">
        <w:trPr>
          <w:trHeight w:val="254"/>
        </w:trPr>
        <w:tc>
          <w:tcPr>
            <w:tcW w:w="4035"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bottom"/>
          </w:tcPr>
          <w:p w14:paraId="59592C6E" w14:textId="77777777" w:rsidR="00517A28" w:rsidRPr="005F63D1" w:rsidRDefault="005161E7">
            <w:pPr>
              <w:pStyle w:val="Body"/>
              <w:rPr>
                <w:rFonts w:ascii="Charter" w:hAnsi="Charter"/>
              </w:rPr>
            </w:pPr>
            <w:r w:rsidRPr="005F63D1">
              <w:rPr>
                <w:rFonts w:ascii="Charter" w:hAnsi="Charter"/>
                <w:sz w:val="20"/>
                <w:szCs w:val="20"/>
              </w:rPr>
              <w:t>Neuropathy n (%)</w:t>
            </w:r>
          </w:p>
        </w:tc>
        <w:tc>
          <w:tcPr>
            <w:tcW w:w="173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4D0A52EC" w14:textId="77777777" w:rsidR="00517A28" w:rsidRPr="005F63D1" w:rsidRDefault="005161E7">
            <w:pPr>
              <w:pStyle w:val="Body"/>
              <w:rPr>
                <w:rFonts w:ascii="Charter" w:hAnsi="Charter"/>
              </w:rPr>
            </w:pPr>
            <w:r w:rsidRPr="005F63D1">
              <w:rPr>
                <w:rFonts w:ascii="Charter" w:hAnsi="Charter"/>
                <w:sz w:val="20"/>
                <w:szCs w:val="20"/>
              </w:rPr>
              <w:t>24 (33.33)</w:t>
            </w:r>
          </w:p>
        </w:tc>
      </w:tr>
      <w:tr w:rsidR="00517A28" w:rsidRPr="005F63D1" w14:paraId="683730AB" w14:textId="77777777">
        <w:trPr>
          <w:trHeight w:val="254"/>
        </w:trPr>
        <w:tc>
          <w:tcPr>
            <w:tcW w:w="403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vAlign w:val="bottom"/>
          </w:tcPr>
          <w:p w14:paraId="70665430" w14:textId="77777777" w:rsidR="00517A28" w:rsidRPr="005F63D1" w:rsidRDefault="005161E7">
            <w:pPr>
              <w:pStyle w:val="Body"/>
              <w:rPr>
                <w:rFonts w:ascii="Charter" w:hAnsi="Charter"/>
              </w:rPr>
            </w:pPr>
            <w:r w:rsidRPr="005F63D1">
              <w:rPr>
                <w:rFonts w:ascii="Charter" w:hAnsi="Charter"/>
                <w:sz w:val="20"/>
                <w:szCs w:val="20"/>
              </w:rPr>
              <w:t>Nephropathy n (%)</w:t>
            </w:r>
          </w:p>
        </w:tc>
        <w:tc>
          <w:tcPr>
            <w:tcW w:w="1737"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vAlign w:val="center"/>
          </w:tcPr>
          <w:p w14:paraId="20B8AFA6" w14:textId="77777777" w:rsidR="00517A28" w:rsidRPr="005F63D1" w:rsidRDefault="005161E7">
            <w:pPr>
              <w:pStyle w:val="Body"/>
              <w:rPr>
                <w:rFonts w:ascii="Charter" w:hAnsi="Charter"/>
              </w:rPr>
            </w:pPr>
            <w:r w:rsidRPr="005F63D1">
              <w:rPr>
                <w:rFonts w:ascii="Charter" w:hAnsi="Charter"/>
                <w:sz w:val="20"/>
                <w:szCs w:val="20"/>
              </w:rPr>
              <w:t>8 (11.11)</w:t>
            </w:r>
          </w:p>
        </w:tc>
      </w:tr>
      <w:tr w:rsidR="00517A28" w:rsidRPr="005F63D1" w14:paraId="7FBE9845" w14:textId="77777777">
        <w:trPr>
          <w:trHeight w:val="254"/>
        </w:trPr>
        <w:tc>
          <w:tcPr>
            <w:tcW w:w="4035"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bottom"/>
          </w:tcPr>
          <w:p w14:paraId="28530742" w14:textId="77777777" w:rsidR="00517A28" w:rsidRPr="005F63D1" w:rsidRDefault="005161E7">
            <w:pPr>
              <w:pStyle w:val="Body"/>
              <w:rPr>
                <w:rFonts w:ascii="Charter" w:hAnsi="Charter"/>
              </w:rPr>
            </w:pPr>
            <w:r w:rsidRPr="005F63D1">
              <w:rPr>
                <w:rFonts w:ascii="Charter" w:hAnsi="Charter"/>
                <w:sz w:val="20"/>
                <w:szCs w:val="20"/>
              </w:rPr>
              <w:t>Retinopathy, n (%)</w:t>
            </w:r>
          </w:p>
        </w:tc>
        <w:tc>
          <w:tcPr>
            <w:tcW w:w="173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144A417A" w14:textId="77777777" w:rsidR="00517A28" w:rsidRPr="005F63D1" w:rsidRDefault="005161E7">
            <w:pPr>
              <w:pStyle w:val="Body"/>
              <w:rPr>
                <w:rFonts w:ascii="Charter" w:hAnsi="Charter"/>
              </w:rPr>
            </w:pPr>
            <w:r w:rsidRPr="005F63D1">
              <w:rPr>
                <w:rFonts w:ascii="Charter" w:hAnsi="Charter"/>
                <w:sz w:val="20"/>
                <w:szCs w:val="20"/>
              </w:rPr>
              <w:t>2 (2.77)</w:t>
            </w:r>
          </w:p>
        </w:tc>
      </w:tr>
      <w:tr w:rsidR="00517A28" w:rsidRPr="005F63D1" w14:paraId="2556460A" w14:textId="77777777">
        <w:trPr>
          <w:trHeight w:val="254"/>
        </w:trPr>
        <w:tc>
          <w:tcPr>
            <w:tcW w:w="4035"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vAlign w:val="bottom"/>
          </w:tcPr>
          <w:p w14:paraId="4DE47CB0" w14:textId="77777777" w:rsidR="00517A28" w:rsidRPr="005F63D1" w:rsidRDefault="005161E7">
            <w:pPr>
              <w:pStyle w:val="Body"/>
              <w:rPr>
                <w:rFonts w:ascii="Charter" w:hAnsi="Charter"/>
              </w:rPr>
            </w:pPr>
            <w:r w:rsidRPr="005F63D1">
              <w:rPr>
                <w:rFonts w:ascii="Charter" w:hAnsi="Charter"/>
                <w:sz w:val="20"/>
                <w:szCs w:val="20"/>
              </w:rPr>
              <w:t>Other complications*</w:t>
            </w:r>
          </w:p>
        </w:tc>
        <w:tc>
          <w:tcPr>
            <w:tcW w:w="1737"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vAlign w:val="center"/>
          </w:tcPr>
          <w:p w14:paraId="51903BE3" w14:textId="77777777" w:rsidR="00517A28" w:rsidRPr="005F63D1" w:rsidRDefault="005161E7">
            <w:pPr>
              <w:pStyle w:val="Body"/>
              <w:rPr>
                <w:rFonts w:ascii="Charter" w:hAnsi="Charter"/>
              </w:rPr>
            </w:pPr>
            <w:r w:rsidRPr="005F63D1">
              <w:rPr>
                <w:rFonts w:ascii="Charter" w:hAnsi="Charter"/>
                <w:sz w:val="20"/>
                <w:szCs w:val="20"/>
              </w:rPr>
              <w:t>59 (81.94)</w:t>
            </w:r>
          </w:p>
        </w:tc>
      </w:tr>
    </w:tbl>
    <w:p w14:paraId="79C9A78D" w14:textId="77777777" w:rsidR="00517A28" w:rsidRPr="005F63D1" w:rsidRDefault="00517A28">
      <w:pPr>
        <w:pStyle w:val="Body"/>
        <w:rPr>
          <w:rFonts w:ascii="Charter" w:eastAsia="Charter" w:hAnsi="Charter" w:cs="Charter"/>
          <w:sz w:val="24"/>
          <w:szCs w:val="24"/>
        </w:rPr>
      </w:pPr>
    </w:p>
    <w:p w14:paraId="482DB5B9" w14:textId="77777777" w:rsidR="00517A28" w:rsidRPr="005F63D1" w:rsidRDefault="005161E7">
      <w:pPr>
        <w:pStyle w:val="Body"/>
        <w:rPr>
          <w:rFonts w:ascii="Charter" w:eastAsia="Times New Roman" w:hAnsi="Charter" w:cs="Times New Roman"/>
          <w:sz w:val="18"/>
          <w:szCs w:val="18"/>
        </w:rPr>
      </w:pPr>
      <w:r w:rsidRPr="005F63D1">
        <w:rPr>
          <w:rFonts w:ascii="Charter" w:hAnsi="Charter"/>
          <w:b/>
          <w:bCs/>
          <w:sz w:val="18"/>
          <w:szCs w:val="18"/>
          <w:lang w:val="fr-FR"/>
        </w:rPr>
        <w:t xml:space="preserve">Table </w:t>
      </w:r>
      <w:r w:rsidRPr="005F63D1">
        <w:rPr>
          <w:rFonts w:ascii="Charter" w:hAnsi="Charter"/>
          <w:b/>
          <w:bCs/>
          <w:sz w:val="18"/>
          <w:szCs w:val="18"/>
        </w:rPr>
        <w:t>1.</w:t>
      </w:r>
      <w:r w:rsidRPr="005F63D1">
        <w:rPr>
          <w:rFonts w:ascii="Charter" w:hAnsi="Charter"/>
          <w:sz w:val="18"/>
          <w:szCs w:val="18"/>
        </w:rPr>
        <w:t xml:space="preserve"> Biochemical and demographic parameters of the case group. </w:t>
      </w:r>
      <w:r w:rsidRPr="005F63D1">
        <w:rPr>
          <w:rFonts w:ascii="Charter" w:hAnsi="Charter"/>
          <w:b/>
          <w:bCs/>
          <w:sz w:val="18"/>
          <w:szCs w:val="18"/>
        </w:rPr>
        <w:t xml:space="preserve">Note: </w:t>
      </w:r>
      <w:r w:rsidRPr="005F63D1">
        <w:rPr>
          <w:rFonts w:ascii="Charter" w:hAnsi="Charter"/>
          <w:sz w:val="18"/>
          <w:szCs w:val="18"/>
        </w:rPr>
        <w:t>Data are presented as mean ± SD or as a number(percentage).</w:t>
      </w:r>
    </w:p>
    <w:p w14:paraId="1CA14A75" w14:textId="77777777" w:rsidR="00517A28" w:rsidRPr="005F63D1" w:rsidRDefault="005161E7">
      <w:pPr>
        <w:pStyle w:val="Body"/>
        <w:rPr>
          <w:rFonts w:ascii="Charter" w:hAnsi="Charter"/>
          <w:sz w:val="18"/>
          <w:szCs w:val="18"/>
        </w:rPr>
      </w:pPr>
      <w:r w:rsidRPr="005F63D1">
        <w:rPr>
          <w:rFonts w:ascii="Charter" w:hAnsi="Charter"/>
          <w:b/>
          <w:bCs/>
          <w:sz w:val="18"/>
          <w:szCs w:val="18"/>
          <w:lang w:val="it-IT"/>
        </w:rPr>
        <w:t>Abbreviations:</w:t>
      </w:r>
      <w:r w:rsidRPr="005F63D1">
        <w:rPr>
          <w:rFonts w:ascii="Charter" w:hAnsi="Charter"/>
          <w:sz w:val="18"/>
          <w:szCs w:val="18"/>
        </w:rPr>
        <w:t xml:space="preserve"> OR, odds ratio; CI, confidence interval; SD, standard deviation; HDL, high-density lipoprotein; HbA1c, glycosylated hemoglobin; TNF-alpha, tumor </w:t>
      </w:r>
      <w:proofErr w:type="spellStart"/>
      <w:r w:rsidRPr="005F63D1">
        <w:rPr>
          <w:rFonts w:ascii="Charter" w:hAnsi="Charter"/>
          <w:sz w:val="18"/>
          <w:szCs w:val="18"/>
        </w:rPr>
        <w:t>necrosys</w:t>
      </w:r>
      <w:proofErr w:type="spellEnd"/>
      <w:r w:rsidRPr="005F63D1">
        <w:rPr>
          <w:rFonts w:ascii="Charter" w:hAnsi="Charter"/>
          <w:sz w:val="18"/>
          <w:szCs w:val="18"/>
        </w:rPr>
        <w:t xml:space="preserve"> factor alpha.</w:t>
      </w:r>
    </w:p>
    <w:p w14:paraId="3F0639DA" w14:textId="77777777" w:rsidR="009B3400" w:rsidRPr="005F63D1" w:rsidRDefault="009B3400">
      <w:pPr>
        <w:pStyle w:val="Body"/>
        <w:rPr>
          <w:rFonts w:ascii="Charter" w:eastAsia="Charter" w:hAnsi="Charter" w:cs="Charter"/>
          <w:sz w:val="24"/>
          <w:szCs w:val="24"/>
        </w:rPr>
      </w:pPr>
    </w:p>
    <w:p w14:paraId="6A1953E5" w14:textId="657B12AF" w:rsidR="00517A28" w:rsidRDefault="00517A28">
      <w:pPr>
        <w:pStyle w:val="Body"/>
        <w:rPr>
          <w:rFonts w:ascii="Charter" w:eastAsia="Charter" w:hAnsi="Charter" w:cs="Charter"/>
          <w:sz w:val="24"/>
          <w:szCs w:val="24"/>
        </w:rPr>
      </w:pPr>
    </w:p>
    <w:p w14:paraId="3D88B3E4" w14:textId="77777777" w:rsidR="00C8017A" w:rsidRPr="005F63D1" w:rsidRDefault="00C8017A">
      <w:pPr>
        <w:pStyle w:val="Body"/>
        <w:rPr>
          <w:rFonts w:ascii="Charter" w:eastAsia="Charter" w:hAnsi="Charter" w:cs="Charter"/>
          <w:sz w:val="24"/>
          <w:szCs w:val="24"/>
        </w:rPr>
      </w:pPr>
    </w:p>
    <w:p w14:paraId="68B45A45" w14:textId="77777777" w:rsidR="00517A28" w:rsidRPr="005F63D1" w:rsidRDefault="00517A28">
      <w:pPr>
        <w:pStyle w:val="Body"/>
        <w:rPr>
          <w:rFonts w:ascii="Charter" w:eastAsia="Charter" w:hAnsi="Charter" w:cs="Charter"/>
          <w:sz w:val="24"/>
          <w:szCs w:val="24"/>
        </w:rPr>
      </w:pPr>
    </w:p>
    <w:p w14:paraId="69F8005A" w14:textId="77777777" w:rsidR="00517A28" w:rsidRPr="005F63D1" w:rsidRDefault="005161E7">
      <w:pPr>
        <w:pStyle w:val="Body"/>
        <w:rPr>
          <w:rFonts w:ascii="Charter" w:eastAsia="Charter" w:hAnsi="Charter" w:cs="Charter"/>
        </w:rPr>
      </w:pPr>
      <w:r w:rsidRPr="005F63D1">
        <w:rPr>
          <w:rFonts w:ascii="Charter" w:hAnsi="Charter"/>
        </w:rPr>
        <w:t xml:space="preserve">3.2 </w:t>
      </w:r>
      <w:bookmarkStart w:id="1" w:name="_Hlk510338686"/>
      <w:r w:rsidRPr="005F63D1">
        <w:rPr>
          <w:rFonts w:ascii="Charter" w:hAnsi="Charter"/>
        </w:rPr>
        <w:t>Analyses of the variant genes, clinical and serum parameters.</w:t>
      </w:r>
    </w:p>
    <w:p w14:paraId="6A325D20" w14:textId="77777777" w:rsidR="00517A28" w:rsidRPr="005F63D1" w:rsidRDefault="00517A28">
      <w:pPr>
        <w:pStyle w:val="Body"/>
        <w:rPr>
          <w:rFonts w:ascii="Charter" w:eastAsia="Charter" w:hAnsi="Charter" w:cs="Charter"/>
        </w:rPr>
      </w:pPr>
    </w:p>
    <w:p w14:paraId="292B8C10" w14:textId="77777777" w:rsidR="00517A28" w:rsidRPr="005F63D1" w:rsidRDefault="005161E7">
      <w:pPr>
        <w:pStyle w:val="Body"/>
        <w:rPr>
          <w:rFonts w:ascii="Charter" w:eastAsia="Charter" w:hAnsi="Charter" w:cs="Charter"/>
          <w:b/>
          <w:bCs/>
          <w:i/>
          <w:iCs/>
        </w:rPr>
      </w:pPr>
      <w:r w:rsidRPr="005F63D1">
        <w:rPr>
          <w:rFonts w:ascii="Charter" w:hAnsi="Charter"/>
          <w:b/>
          <w:bCs/>
          <w:i/>
          <w:iCs/>
        </w:rPr>
        <w:t>Adiponectin</w:t>
      </w:r>
    </w:p>
    <w:p w14:paraId="06A909D3" w14:textId="77777777" w:rsidR="00517A28" w:rsidRPr="005F63D1" w:rsidRDefault="00517A28">
      <w:pPr>
        <w:pStyle w:val="Body"/>
        <w:rPr>
          <w:rFonts w:ascii="Charter" w:eastAsia="Charter" w:hAnsi="Charter" w:cs="Charter"/>
          <w:i/>
          <w:iCs/>
        </w:rPr>
      </w:pPr>
    </w:p>
    <w:bookmarkEnd w:id="1"/>
    <w:p w14:paraId="1DEA861F" w14:textId="32AADC60" w:rsidR="00517A28" w:rsidRPr="005F63D1" w:rsidRDefault="005161E7">
      <w:pPr>
        <w:pStyle w:val="Default"/>
        <w:spacing w:after="160"/>
        <w:jc w:val="both"/>
        <w:rPr>
          <w:rFonts w:ascii="Charter" w:eastAsia="Charter" w:hAnsi="Charter" w:cs="Charter"/>
          <w:u w:color="000000"/>
        </w:rPr>
      </w:pPr>
      <w:r w:rsidRPr="005F63D1">
        <w:rPr>
          <w:rFonts w:ascii="Charter" w:hAnsi="Charter"/>
          <w:u w:color="000000"/>
        </w:rPr>
        <w:t>Analysis of adiponectin serum concentration was higher in men than in wo</w:t>
      </w:r>
      <w:r w:rsidRPr="005F63D1">
        <w:rPr>
          <w:rFonts w:ascii="Charter" w:hAnsi="Charter"/>
          <w:u w:color="000000"/>
          <w:lang w:val="de-DE"/>
        </w:rPr>
        <w:t xml:space="preserve">men </w:t>
      </w:r>
      <w:r w:rsidRPr="005F63D1">
        <w:rPr>
          <w:rFonts w:ascii="Charter" w:hAnsi="Charter"/>
          <w:u w:color="000000"/>
        </w:rPr>
        <w:t>in the diabetic individuals (mean±</w:t>
      </w:r>
      <w:r w:rsidRPr="005F63D1">
        <w:rPr>
          <w:rFonts w:ascii="Charter" w:hAnsi="Charter"/>
          <w:u w:color="000000"/>
          <w:lang w:val="pt-PT"/>
        </w:rPr>
        <w:t xml:space="preserve">SD: </w:t>
      </w:r>
      <w:r w:rsidRPr="005F63D1">
        <w:rPr>
          <w:rFonts w:ascii="Charter" w:hAnsi="Charter"/>
          <w:u w:color="000000"/>
        </w:rPr>
        <w:t xml:space="preserve">14.28±3.78 µg/L than 14.22±3.28 µg/L, </w:t>
      </w:r>
      <w:r w:rsidRPr="005F63D1">
        <w:rPr>
          <w:rFonts w:ascii="Charter" w:hAnsi="Charter"/>
          <w:i/>
          <w:iCs/>
          <w:u w:color="000000"/>
        </w:rPr>
        <w:t>p</w:t>
      </w:r>
      <w:r w:rsidRPr="005F63D1">
        <w:rPr>
          <w:rFonts w:ascii="Charter" w:hAnsi="Charter"/>
          <w:u w:color="000000"/>
        </w:rPr>
        <w:t xml:space="preserve">&lt;0.04) and in patients diagnosed with dawn phenomenon than in other patients unrelated to gender (14.25±3.71 µg/L than 13.97±3.45 µg/L,  </w:t>
      </w:r>
      <w:r w:rsidRPr="005F63D1">
        <w:rPr>
          <w:rFonts w:ascii="Charter" w:hAnsi="Charter"/>
          <w:i/>
          <w:iCs/>
          <w:u w:color="000000"/>
        </w:rPr>
        <w:t>p</w:t>
      </w:r>
      <w:r w:rsidRPr="005F63D1">
        <w:rPr>
          <w:rFonts w:ascii="Charter" w:hAnsi="Charter"/>
          <w:u w:color="000000"/>
        </w:rPr>
        <w:t>&lt;0.03). Only 9 (12.5%) diabetic individuals had adiponectin serum levels &lt;10µg/L and with minor corresponding complications related to atherosclerosis.</w:t>
      </w:r>
    </w:p>
    <w:p w14:paraId="49281C04" w14:textId="77777777" w:rsidR="00517A28" w:rsidRPr="005F63D1" w:rsidRDefault="005161E7">
      <w:pPr>
        <w:pStyle w:val="Body"/>
        <w:jc w:val="both"/>
        <w:rPr>
          <w:rFonts w:ascii="Charter" w:eastAsia="Charter" w:hAnsi="Charter" w:cs="Charter"/>
        </w:rPr>
      </w:pPr>
      <w:r w:rsidRPr="005F63D1">
        <w:rPr>
          <w:rFonts w:ascii="Charter" w:hAnsi="Charter"/>
        </w:rPr>
        <w:t>The serum level of adiponectin correlated positively with HbA1c (</w:t>
      </w:r>
      <w:r w:rsidRPr="005F63D1">
        <w:rPr>
          <w:rFonts w:ascii="Charter" w:hAnsi="Charter"/>
          <w:i/>
          <w:iCs/>
        </w:rPr>
        <w:t>r</w:t>
      </w:r>
      <w:r w:rsidRPr="005F63D1">
        <w:rPr>
          <w:rFonts w:ascii="Charter" w:hAnsi="Charter"/>
        </w:rPr>
        <w:t xml:space="preserve">=0.39, </w:t>
      </w:r>
      <w:r w:rsidRPr="005F63D1">
        <w:rPr>
          <w:rFonts w:ascii="Charter" w:hAnsi="Charter"/>
          <w:i/>
          <w:iCs/>
        </w:rPr>
        <w:t>p</w:t>
      </w:r>
      <w:r w:rsidRPr="005F63D1">
        <w:rPr>
          <w:rFonts w:ascii="Charter" w:hAnsi="Charter"/>
        </w:rPr>
        <w:t>&lt;0.001) ; and negatively with BMI (</w:t>
      </w:r>
      <w:r w:rsidRPr="005F63D1">
        <w:rPr>
          <w:rFonts w:ascii="Charter" w:hAnsi="Charter"/>
          <w:i/>
          <w:iCs/>
        </w:rPr>
        <w:t>r</w:t>
      </w:r>
      <w:r w:rsidRPr="005F63D1">
        <w:rPr>
          <w:rFonts w:ascii="Charter" w:hAnsi="Charter"/>
        </w:rPr>
        <w:t xml:space="preserve">=−0.34, </w:t>
      </w:r>
      <w:r w:rsidRPr="005F63D1">
        <w:rPr>
          <w:rFonts w:ascii="Charter" w:hAnsi="Charter"/>
          <w:i/>
          <w:iCs/>
        </w:rPr>
        <w:t>p</w:t>
      </w:r>
      <w:r w:rsidRPr="005F63D1">
        <w:rPr>
          <w:rFonts w:ascii="Charter" w:hAnsi="Charter"/>
        </w:rPr>
        <w:t>&lt;0.01), systolic (</w:t>
      </w:r>
      <w:r w:rsidRPr="005F63D1">
        <w:rPr>
          <w:rFonts w:ascii="Charter" w:hAnsi="Charter"/>
          <w:i/>
          <w:iCs/>
        </w:rPr>
        <w:t>r</w:t>
      </w:r>
      <w:r w:rsidRPr="005F63D1">
        <w:rPr>
          <w:rFonts w:ascii="Charter" w:hAnsi="Charter"/>
        </w:rPr>
        <w:t xml:space="preserve">=−0.29,  </w:t>
      </w:r>
      <w:r w:rsidRPr="005F63D1">
        <w:rPr>
          <w:rFonts w:ascii="Charter" w:hAnsi="Charter"/>
          <w:i/>
          <w:iCs/>
        </w:rPr>
        <w:t>p</w:t>
      </w:r>
      <w:r w:rsidRPr="005F63D1">
        <w:rPr>
          <w:rFonts w:ascii="Charter" w:hAnsi="Charter"/>
        </w:rPr>
        <w:t>=0.004) and diastolic (</w:t>
      </w:r>
      <w:r w:rsidRPr="005F63D1">
        <w:rPr>
          <w:rFonts w:ascii="Charter" w:hAnsi="Charter"/>
          <w:i/>
          <w:iCs/>
        </w:rPr>
        <w:t>r</w:t>
      </w:r>
      <w:r w:rsidRPr="005F63D1">
        <w:rPr>
          <w:rFonts w:ascii="Charter" w:hAnsi="Charter"/>
        </w:rPr>
        <w:t xml:space="preserve">= 0.28,  </w:t>
      </w:r>
      <w:r w:rsidRPr="005F63D1">
        <w:rPr>
          <w:rFonts w:ascii="Charter" w:hAnsi="Charter"/>
          <w:i/>
          <w:iCs/>
        </w:rPr>
        <w:t>p</w:t>
      </w:r>
      <w:r w:rsidRPr="005F63D1">
        <w:rPr>
          <w:rFonts w:ascii="Charter" w:hAnsi="Charter"/>
        </w:rPr>
        <w:t>=0.002) blood pressure. Negative correlations were also found with serum cholesterol and triglyceride concentration (</w:t>
      </w:r>
      <w:r w:rsidRPr="005F63D1">
        <w:rPr>
          <w:rFonts w:ascii="Charter" w:hAnsi="Charter"/>
          <w:i/>
          <w:iCs/>
        </w:rPr>
        <w:t>r</w:t>
      </w:r>
      <w:r w:rsidRPr="005F63D1">
        <w:rPr>
          <w:rFonts w:ascii="Charter" w:hAnsi="Charter"/>
        </w:rPr>
        <w:t xml:space="preserve">=−0.55,  </w:t>
      </w:r>
      <w:r w:rsidRPr="005F63D1">
        <w:rPr>
          <w:rFonts w:ascii="Charter" w:hAnsi="Charter"/>
          <w:i/>
          <w:iCs/>
        </w:rPr>
        <w:t>p=</w:t>
      </w:r>
      <w:r w:rsidRPr="005F63D1">
        <w:rPr>
          <w:rFonts w:ascii="Charter" w:hAnsi="Charter"/>
        </w:rPr>
        <w:t>0.03; r=-0.49, p=0.02, respectively); and a positive one with HDL (</w:t>
      </w:r>
      <w:r w:rsidRPr="005F63D1">
        <w:rPr>
          <w:rFonts w:ascii="Charter" w:hAnsi="Charter"/>
          <w:i/>
          <w:iCs/>
        </w:rPr>
        <w:t>r</w:t>
      </w:r>
      <w:r w:rsidRPr="005F63D1">
        <w:rPr>
          <w:rFonts w:ascii="Charter" w:hAnsi="Charter"/>
        </w:rPr>
        <w:t xml:space="preserve">=0.8,  </w:t>
      </w:r>
      <w:r w:rsidRPr="005F63D1">
        <w:rPr>
          <w:rFonts w:ascii="Charter" w:hAnsi="Charter"/>
          <w:i/>
          <w:iCs/>
        </w:rPr>
        <w:t>p</w:t>
      </w:r>
      <w:r w:rsidRPr="005F63D1">
        <w:rPr>
          <w:rFonts w:ascii="Charter" w:hAnsi="Charter"/>
        </w:rPr>
        <w:t>&lt;0.001).</w:t>
      </w:r>
    </w:p>
    <w:p w14:paraId="22C7AD9B" w14:textId="77777777" w:rsidR="00517A28" w:rsidRPr="005F63D1" w:rsidRDefault="00517A28">
      <w:pPr>
        <w:pStyle w:val="Body"/>
        <w:rPr>
          <w:rFonts w:ascii="Charter" w:eastAsia="Charter" w:hAnsi="Charter" w:cs="Charter"/>
        </w:rPr>
      </w:pPr>
    </w:p>
    <w:p w14:paraId="615BD937" w14:textId="77777777" w:rsidR="00517A28" w:rsidRPr="005F63D1" w:rsidRDefault="005161E7">
      <w:pPr>
        <w:pStyle w:val="Body"/>
        <w:rPr>
          <w:rFonts w:ascii="Charter" w:eastAsia="Times New Roman" w:hAnsi="Charter" w:cs="Times New Roman"/>
          <w:sz w:val="20"/>
          <w:szCs w:val="20"/>
        </w:rPr>
      </w:pPr>
      <w:r w:rsidRPr="005F63D1">
        <w:rPr>
          <w:rFonts w:ascii="Charter" w:hAnsi="Charter"/>
          <w:sz w:val="20"/>
          <w:szCs w:val="20"/>
        </w:rPr>
        <w:lastRenderedPageBreak/>
        <w:t xml:space="preserve">Table 2- Genotype distribution and allele frequency of  276G&gt;T Adiponectin and TNF-alpha -308G/A in diabetic and control subjects.  </w:t>
      </w:r>
      <w:r w:rsidRPr="005F63D1">
        <w:rPr>
          <w:rFonts w:ascii="Charter" w:hAnsi="Charter"/>
          <w:b/>
          <w:bCs/>
          <w:sz w:val="20"/>
          <w:szCs w:val="20"/>
        </w:rPr>
        <w:t xml:space="preserve">Notes: </w:t>
      </w:r>
      <w:r w:rsidRPr="005F63D1">
        <w:rPr>
          <w:rFonts w:ascii="Charter" w:hAnsi="Charter"/>
          <w:sz w:val="20"/>
          <w:szCs w:val="20"/>
        </w:rPr>
        <w:t>Data ar</w:t>
      </w:r>
      <w:r w:rsidRPr="005F63D1">
        <w:rPr>
          <w:rFonts w:ascii="Charter" w:hAnsi="Charter"/>
          <w:noProof/>
          <w:lang w:val="ro-RO" w:eastAsia="ro-RO"/>
        </w:rPr>
        <mc:AlternateContent>
          <mc:Choice Requires="wps">
            <w:drawing>
              <wp:anchor distT="152400" distB="152400" distL="152400" distR="152400" simplePos="0" relativeHeight="251659264" behindDoc="0" locked="0" layoutInCell="1" allowOverlap="1" wp14:anchorId="7623E6F7" wp14:editId="5A6094EE">
                <wp:simplePos x="0" y="0"/>
                <wp:positionH relativeFrom="page">
                  <wp:posOffset>720000</wp:posOffset>
                </wp:positionH>
                <wp:positionV relativeFrom="page">
                  <wp:posOffset>4126870</wp:posOffset>
                </wp:positionV>
                <wp:extent cx="6070720" cy="1852296"/>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070720" cy="1852296"/>
                        </a:xfrm>
                        <a:prstGeom prst="rect">
                          <a:avLst/>
                        </a:prstGeom>
                      </wps:spPr>
                      <wps:txbx>
                        <w:txbxContent>
                          <w:tbl>
                            <w:tblPr>
                              <w:tblStyle w:val="TableNormal1"/>
                              <w:tblW w:w="8212"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00"/>
                              <w:gridCol w:w="1720"/>
                              <w:gridCol w:w="1200"/>
                              <w:gridCol w:w="1432"/>
                              <w:gridCol w:w="1840"/>
                              <w:gridCol w:w="820"/>
                            </w:tblGrid>
                            <w:tr w:rsidR="007D625A" w14:paraId="2ED9186F" w14:textId="77777777">
                              <w:trPr>
                                <w:trHeight w:val="249"/>
                              </w:trPr>
                              <w:tc>
                                <w:tcPr>
                                  <w:tcW w:w="1200" w:type="dxa"/>
                                  <w:tcBorders>
                                    <w:top w:val="single" w:sz="4"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1666A06A" w14:textId="77777777" w:rsidR="007D625A" w:rsidRDefault="007D625A">
                                  <w:pPr>
                                    <w:pStyle w:val="Body"/>
                                    <w:jc w:val="center"/>
                                  </w:pPr>
                                  <w:r>
                                    <w:rPr>
                                      <w:b/>
                                      <w:bCs/>
                                      <w:sz w:val="20"/>
                                      <w:szCs w:val="20"/>
                                    </w:rPr>
                                    <w:t>SNP ID</w:t>
                                  </w:r>
                                </w:p>
                              </w:tc>
                              <w:tc>
                                <w:tcPr>
                                  <w:tcW w:w="1720" w:type="dxa"/>
                                  <w:tcBorders>
                                    <w:top w:val="single" w:sz="4"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7A24D12E" w14:textId="77777777" w:rsidR="007D625A" w:rsidRDefault="007D625A">
                                  <w:pPr>
                                    <w:pStyle w:val="Body"/>
                                    <w:jc w:val="center"/>
                                  </w:pPr>
                                  <w:r>
                                    <w:rPr>
                                      <w:b/>
                                      <w:bCs/>
                                      <w:sz w:val="20"/>
                                      <w:szCs w:val="20"/>
                                    </w:rPr>
                                    <w:t>Variant</w:t>
                                  </w:r>
                                </w:p>
                              </w:tc>
                              <w:tc>
                                <w:tcPr>
                                  <w:tcW w:w="1200" w:type="dxa"/>
                                  <w:tcBorders>
                                    <w:top w:val="single" w:sz="4"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7179C745" w14:textId="77777777" w:rsidR="007D625A" w:rsidRDefault="007D625A">
                                  <w:pPr>
                                    <w:pStyle w:val="Body"/>
                                  </w:pPr>
                                  <w:r>
                                    <w:rPr>
                                      <w:b/>
                                      <w:bCs/>
                                      <w:sz w:val="20"/>
                                      <w:szCs w:val="20"/>
                                    </w:rPr>
                                    <w:t>Cases n(%)</w:t>
                                  </w:r>
                                </w:p>
                              </w:tc>
                              <w:tc>
                                <w:tcPr>
                                  <w:tcW w:w="1432" w:type="dxa"/>
                                  <w:tcBorders>
                                    <w:top w:val="single" w:sz="4"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67DEA21E" w14:textId="77777777" w:rsidR="007D625A" w:rsidRDefault="007D625A">
                                  <w:pPr>
                                    <w:pStyle w:val="Body"/>
                                  </w:pPr>
                                  <w:r>
                                    <w:rPr>
                                      <w:b/>
                                      <w:bCs/>
                                      <w:sz w:val="20"/>
                                      <w:szCs w:val="20"/>
                                    </w:rPr>
                                    <w:t>Controls n(%)</w:t>
                                  </w:r>
                                </w:p>
                              </w:tc>
                              <w:tc>
                                <w:tcPr>
                                  <w:tcW w:w="1840" w:type="dxa"/>
                                  <w:tcBorders>
                                    <w:top w:val="single" w:sz="4"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62FE4312" w14:textId="77777777" w:rsidR="007D625A" w:rsidRDefault="007D625A">
                                  <w:pPr>
                                    <w:pStyle w:val="Body"/>
                                    <w:jc w:val="center"/>
                                  </w:pPr>
                                  <w:r>
                                    <w:rPr>
                                      <w:b/>
                                      <w:bCs/>
                                      <w:sz w:val="20"/>
                                      <w:szCs w:val="20"/>
                                    </w:rPr>
                                    <w:t>OR (95% CI)</w:t>
                                  </w:r>
                                </w:p>
                              </w:tc>
                              <w:tc>
                                <w:tcPr>
                                  <w:tcW w:w="820" w:type="dxa"/>
                                  <w:tcBorders>
                                    <w:top w:val="single" w:sz="4"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4F5FF223" w14:textId="77777777" w:rsidR="007D625A" w:rsidRDefault="007D625A">
                                  <w:pPr>
                                    <w:pStyle w:val="Body"/>
                                    <w:jc w:val="center"/>
                                  </w:pPr>
                                  <w:r>
                                    <w:rPr>
                                      <w:b/>
                                      <w:bCs/>
                                      <w:sz w:val="20"/>
                                      <w:szCs w:val="20"/>
                                    </w:rPr>
                                    <w:t>P-value</w:t>
                                  </w:r>
                                </w:p>
                              </w:tc>
                            </w:tr>
                            <w:tr w:rsidR="007D625A" w14:paraId="5E042CA4" w14:textId="77777777">
                              <w:trPr>
                                <w:trHeight w:val="254"/>
                              </w:trPr>
                              <w:tc>
                                <w:tcPr>
                                  <w:tcW w:w="1200" w:type="dxa"/>
                                  <w:vMerge w:val="restart"/>
                                  <w:tcBorders>
                                    <w:top w:val="single" w:sz="8" w:space="0" w:color="000000"/>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598B2D7E" w14:textId="77777777" w:rsidR="007D625A" w:rsidRDefault="007D625A">
                                  <w:pPr>
                                    <w:pStyle w:val="Body"/>
                                    <w:jc w:val="center"/>
                                    <w:rPr>
                                      <w:sz w:val="20"/>
                                      <w:szCs w:val="20"/>
                                    </w:rPr>
                                  </w:pPr>
                                  <w:r>
                                    <w:rPr>
                                      <w:sz w:val="20"/>
                                      <w:szCs w:val="20"/>
                                    </w:rPr>
                                    <w:t xml:space="preserve">      276G/T</w:t>
                                  </w:r>
                                </w:p>
                                <w:p w14:paraId="4B5D2C70" w14:textId="77777777" w:rsidR="007D625A" w:rsidRDefault="007D625A">
                                  <w:pPr>
                                    <w:pStyle w:val="Body"/>
                                    <w:jc w:val="center"/>
                                  </w:pPr>
                                  <w:r>
                                    <w:rPr>
                                      <w:sz w:val="20"/>
                                      <w:szCs w:val="20"/>
                                    </w:rPr>
                                    <w:t>Adiponectin</w:t>
                                  </w:r>
                                </w:p>
                              </w:tc>
                              <w:tc>
                                <w:tcPr>
                                  <w:tcW w:w="1720" w:type="dxa"/>
                                  <w:tcBorders>
                                    <w:top w:val="single" w:sz="8" w:space="0" w:color="000000"/>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507EB395" w14:textId="77777777" w:rsidR="007D625A" w:rsidRDefault="007D625A">
                                  <w:pPr>
                                    <w:pStyle w:val="Body"/>
                                  </w:pPr>
                                  <w:r>
                                    <w:rPr>
                                      <w:sz w:val="20"/>
                                      <w:szCs w:val="20"/>
                                    </w:rPr>
                                    <w:t>GG</w:t>
                                  </w:r>
                                </w:p>
                              </w:tc>
                              <w:tc>
                                <w:tcPr>
                                  <w:tcW w:w="1200" w:type="dxa"/>
                                  <w:tcBorders>
                                    <w:top w:val="single" w:sz="8" w:space="0" w:color="000000"/>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27BC2E60" w14:textId="77777777" w:rsidR="007D625A" w:rsidRDefault="007D625A">
                                  <w:pPr>
                                    <w:pStyle w:val="Body"/>
                                  </w:pPr>
                                  <w:r>
                                    <w:rPr>
                                      <w:sz w:val="20"/>
                                      <w:szCs w:val="20"/>
                                    </w:rPr>
                                    <w:t>11 (15.27)</w:t>
                                  </w:r>
                                </w:p>
                              </w:tc>
                              <w:tc>
                                <w:tcPr>
                                  <w:tcW w:w="1432" w:type="dxa"/>
                                  <w:tcBorders>
                                    <w:top w:val="single" w:sz="8" w:space="0" w:color="000000"/>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794BEB25" w14:textId="77777777" w:rsidR="007D625A" w:rsidRDefault="007D625A">
                                  <w:pPr>
                                    <w:pStyle w:val="Body"/>
                                  </w:pPr>
                                  <w:r>
                                    <w:rPr>
                                      <w:sz w:val="20"/>
                                      <w:szCs w:val="20"/>
                                    </w:rPr>
                                    <w:t>22 (24.44)</w:t>
                                  </w:r>
                                </w:p>
                              </w:tc>
                              <w:tc>
                                <w:tcPr>
                                  <w:tcW w:w="1840" w:type="dxa"/>
                                  <w:tcBorders>
                                    <w:top w:val="single" w:sz="8" w:space="0" w:color="000000"/>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7088D536" w14:textId="77777777" w:rsidR="007D625A" w:rsidRDefault="007D625A">
                                  <w:pPr>
                                    <w:pStyle w:val="Body"/>
                                    <w:jc w:val="center"/>
                                  </w:pPr>
                                  <w:r>
                                    <w:rPr>
                                      <w:sz w:val="20"/>
                                      <w:szCs w:val="20"/>
                                    </w:rPr>
                                    <w:t>0.405 (0.156-0.654)</w:t>
                                  </w:r>
                                </w:p>
                              </w:tc>
                              <w:tc>
                                <w:tcPr>
                                  <w:tcW w:w="820" w:type="dxa"/>
                                  <w:tcBorders>
                                    <w:top w:val="single" w:sz="8" w:space="0" w:color="000000"/>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4C6872AD" w14:textId="77777777" w:rsidR="007D625A" w:rsidRDefault="007D625A">
                                  <w:pPr>
                                    <w:pStyle w:val="Body"/>
                                    <w:jc w:val="center"/>
                                  </w:pPr>
                                  <w:r>
                                    <w:rPr>
                                      <w:sz w:val="20"/>
                                      <w:szCs w:val="20"/>
                                    </w:rPr>
                                    <w:t>0.001</w:t>
                                  </w:r>
                                </w:p>
                              </w:tc>
                            </w:tr>
                            <w:tr w:rsidR="007D625A" w14:paraId="0E000213" w14:textId="77777777">
                              <w:trPr>
                                <w:trHeight w:val="254"/>
                              </w:trPr>
                              <w:tc>
                                <w:tcPr>
                                  <w:tcW w:w="1200" w:type="dxa"/>
                                  <w:vMerge/>
                                  <w:tcBorders>
                                    <w:top w:val="single" w:sz="8" w:space="0" w:color="000000"/>
                                    <w:left w:val="single" w:sz="8" w:space="0" w:color="FFFFFF"/>
                                    <w:bottom w:val="single" w:sz="8" w:space="0" w:color="FFFFFF"/>
                                    <w:right w:val="single" w:sz="8" w:space="0" w:color="FFFFFF"/>
                                  </w:tcBorders>
                                  <w:shd w:val="clear" w:color="auto" w:fill="E8ECF3"/>
                                </w:tcPr>
                                <w:p w14:paraId="61316897" w14:textId="77777777" w:rsidR="007D625A" w:rsidRDefault="007D625A"/>
                              </w:tc>
                              <w:tc>
                                <w:tcPr>
                                  <w:tcW w:w="17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3F8660F7" w14:textId="77777777" w:rsidR="007D625A" w:rsidRDefault="007D625A">
                                  <w:pPr>
                                    <w:pStyle w:val="Body"/>
                                  </w:pPr>
                                  <w:r>
                                    <w:rPr>
                                      <w:sz w:val="20"/>
                                      <w:szCs w:val="20"/>
                                    </w:rPr>
                                    <w:t>GT</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2142C417" w14:textId="77777777" w:rsidR="007D625A" w:rsidRDefault="007D625A">
                                  <w:pPr>
                                    <w:pStyle w:val="Body"/>
                                  </w:pPr>
                                  <w:r>
                                    <w:rPr>
                                      <w:sz w:val="20"/>
                                      <w:szCs w:val="20"/>
                                    </w:rPr>
                                    <w:t>38 (52.77)</w:t>
                                  </w:r>
                                </w:p>
                              </w:tc>
                              <w:tc>
                                <w:tcPr>
                                  <w:tcW w:w="1432"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9697076" w14:textId="77777777" w:rsidR="007D625A" w:rsidRDefault="007D625A">
                                  <w:pPr>
                                    <w:pStyle w:val="Body"/>
                                  </w:pPr>
                                  <w:r>
                                    <w:rPr>
                                      <w:sz w:val="20"/>
                                      <w:szCs w:val="20"/>
                                    </w:rPr>
                                    <w:t>41 (45.55)</w:t>
                                  </w:r>
                                </w:p>
                              </w:tc>
                              <w:tc>
                                <w:tcPr>
                                  <w:tcW w:w="18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D0C2AFE" w14:textId="77777777" w:rsidR="007D625A" w:rsidRDefault="007D625A">
                                  <w:pPr>
                                    <w:pStyle w:val="Body"/>
                                    <w:jc w:val="center"/>
                                  </w:pPr>
                                  <w:r>
                                    <w:rPr>
                                      <w:sz w:val="20"/>
                                      <w:szCs w:val="20"/>
                                    </w:rPr>
                                    <w:t>0.623 (0.401-0.855)</w:t>
                                  </w:r>
                                </w:p>
                              </w:tc>
                              <w:tc>
                                <w:tcPr>
                                  <w:tcW w:w="8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6DA4117" w14:textId="77777777" w:rsidR="007D625A" w:rsidRDefault="007D625A">
                                  <w:pPr>
                                    <w:pStyle w:val="Body"/>
                                    <w:jc w:val="center"/>
                                  </w:pPr>
                                  <w:r>
                                    <w:rPr>
                                      <w:sz w:val="20"/>
                                      <w:szCs w:val="20"/>
                                    </w:rPr>
                                    <w:t>0.004</w:t>
                                  </w:r>
                                </w:p>
                              </w:tc>
                            </w:tr>
                            <w:tr w:rsidR="007D625A" w14:paraId="6C38FEFA" w14:textId="77777777">
                              <w:trPr>
                                <w:trHeight w:val="254"/>
                              </w:trPr>
                              <w:tc>
                                <w:tcPr>
                                  <w:tcW w:w="1200" w:type="dxa"/>
                                  <w:vMerge/>
                                  <w:tcBorders>
                                    <w:top w:val="single" w:sz="8" w:space="0" w:color="000000"/>
                                    <w:left w:val="single" w:sz="8" w:space="0" w:color="FFFFFF"/>
                                    <w:bottom w:val="single" w:sz="8" w:space="0" w:color="FFFFFF"/>
                                    <w:right w:val="single" w:sz="8" w:space="0" w:color="FFFFFF"/>
                                  </w:tcBorders>
                                  <w:shd w:val="clear" w:color="auto" w:fill="E8ECF3"/>
                                </w:tcPr>
                                <w:p w14:paraId="315C49E7" w14:textId="77777777" w:rsidR="007D625A" w:rsidRDefault="007D625A"/>
                              </w:tc>
                              <w:tc>
                                <w:tcPr>
                                  <w:tcW w:w="172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3C8BE2D5" w14:textId="77777777" w:rsidR="007D625A" w:rsidRDefault="007D625A">
                                  <w:pPr>
                                    <w:pStyle w:val="Body"/>
                                  </w:pPr>
                                  <w:r>
                                    <w:rPr>
                                      <w:sz w:val="20"/>
                                      <w:szCs w:val="20"/>
                                    </w:rPr>
                                    <w:t>TT</w:t>
                                  </w:r>
                                </w:p>
                              </w:tc>
                              <w:tc>
                                <w:tcPr>
                                  <w:tcW w:w="120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5D89DCE5" w14:textId="77777777" w:rsidR="007D625A" w:rsidRDefault="007D625A">
                                  <w:pPr>
                                    <w:pStyle w:val="Body"/>
                                  </w:pPr>
                                  <w:r>
                                    <w:rPr>
                                      <w:sz w:val="20"/>
                                      <w:szCs w:val="20"/>
                                    </w:rPr>
                                    <w:t>23 (31.94)</w:t>
                                  </w:r>
                                </w:p>
                              </w:tc>
                              <w:tc>
                                <w:tcPr>
                                  <w:tcW w:w="143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0CEC1D07" w14:textId="77777777" w:rsidR="007D625A" w:rsidRDefault="007D625A">
                                  <w:pPr>
                                    <w:pStyle w:val="Body"/>
                                  </w:pPr>
                                  <w:r>
                                    <w:rPr>
                                      <w:sz w:val="20"/>
                                      <w:szCs w:val="20"/>
                                    </w:rPr>
                                    <w:t>27 (30)</w:t>
                                  </w:r>
                                </w:p>
                              </w:tc>
                              <w:tc>
                                <w:tcPr>
                                  <w:tcW w:w="184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5922553B" w14:textId="77777777" w:rsidR="007D625A" w:rsidRDefault="007D625A">
                                  <w:pPr>
                                    <w:pStyle w:val="Body"/>
                                    <w:jc w:val="center"/>
                                  </w:pPr>
                                  <w:r>
                                    <w:rPr>
                                      <w:sz w:val="20"/>
                                      <w:szCs w:val="20"/>
                                    </w:rPr>
                                    <w:t>0.942 (0.806-1.128)</w:t>
                                  </w:r>
                                </w:p>
                              </w:tc>
                              <w:tc>
                                <w:tcPr>
                                  <w:tcW w:w="82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152CA169" w14:textId="77777777" w:rsidR="007D625A" w:rsidRDefault="007D625A">
                                  <w:pPr>
                                    <w:pStyle w:val="Body"/>
                                    <w:jc w:val="center"/>
                                  </w:pPr>
                                  <w:r>
                                    <w:rPr>
                                      <w:sz w:val="20"/>
                                      <w:szCs w:val="20"/>
                                    </w:rPr>
                                    <w:t>0.003</w:t>
                                  </w:r>
                                </w:p>
                              </w:tc>
                            </w:tr>
                            <w:tr w:rsidR="007D625A" w14:paraId="30876884" w14:textId="77777777">
                              <w:trPr>
                                <w:trHeight w:val="254"/>
                              </w:trPr>
                              <w:tc>
                                <w:tcPr>
                                  <w:tcW w:w="1200" w:type="dxa"/>
                                  <w:vMerge/>
                                  <w:tcBorders>
                                    <w:top w:val="single" w:sz="8" w:space="0" w:color="000000"/>
                                    <w:left w:val="single" w:sz="8" w:space="0" w:color="FFFFFF"/>
                                    <w:bottom w:val="single" w:sz="8" w:space="0" w:color="FFFFFF"/>
                                    <w:right w:val="single" w:sz="8" w:space="0" w:color="FFFFFF"/>
                                  </w:tcBorders>
                                  <w:shd w:val="clear" w:color="auto" w:fill="E8ECF3"/>
                                </w:tcPr>
                                <w:p w14:paraId="619AA1BF" w14:textId="77777777" w:rsidR="007D625A" w:rsidRDefault="007D625A"/>
                              </w:tc>
                              <w:tc>
                                <w:tcPr>
                                  <w:tcW w:w="17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043C1001" w14:textId="77777777" w:rsidR="007D625A" w:rsidRDefault="007D625A">
                                  <w:pPr>
                                    <w:pStyle w:val="Body"/>
                                  </w:pPr>
                                  <w:r>
                                    <w:rPr>
                                      <w:sz w:val="20"/>
                                      <w:szCs w:val="20"/>
                                    </w:rPr>
                                    <w:t>GT + TT</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0F3EB442" w14:textId="77777777" w:rsidR="007D625A" w:rsidRDefault="007D625A">
                                  <w:pPr>
                                    <w:pStyle w:val="Body"/>
                                  </w:pPr>
                                  <w:r>
                                    <w:rPr>
                                      <w:sz w:val="20"/>
                                      <w:szCs w:val="20"/>
                                    </w:rPr>
                                    <w:t>61 (84.71)</w:t>
                                  </w:r>
                                </w:p>
                              </w:tc>
                              <w:tc>
                                <w:tcPr>
                                  <w:tcW w:w="1432"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395FCCC" w14:textId="77777777" w:rsidR="007D625A" w:rsidRDefault="007D625A">
                                  <w:pPr>
                                    <w:pStyle w:val="Body"/>
                                  </w:pPr>
                                  <w:r>
                                    <w:rPr>
                                      <w:sz w:val="20"/>
                                      <w:szCs w:val="20"/>
                                    </w:rPr>
                                    <w:t>180 (90)</w:t>
                                  </w:r>
                                </w:p>
                              </w:tc>
                              <w:tc>
                                <w:tcPr>
                                  <w:tcW w:w="18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C10207C" w14:textId="77777777" w:rsidR="007D625A" w:rsidRDefault="007D625A">
                                  <w:pPr>
                                    <w:pStyle w:val="Body"/>
                                    <w:jc w:val="center"/>
                                  </w:pPr>
                                  <w:r>
                                    <w:rPr>
                                      <w:sz w:val="20"/>
                                      <w:szCs w:val="20"/>
                                    </w:rPr>
                                    <w:t>0.876 (0.587-1.988)</w:t>
                                  </w:r>
                                </w:p>
                              </w:tc>
                              <w:tc>
                                <w:tcPr>
                                  <w:tcW w:w="8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1BB10FB" w14:textId="77777777" w:rsidR="007D625A" w:rsidRDefault="007D625A">
                                  <w:pPr>
                                    <w:pStyle w:val="Body"/>
                                    <w:jc w:val="center"/>
                                  </w:pPr>
                                  <w:r>
                                    <w:rPr>
                                      <w:sz w:val="20"/>
                                      <w:szCs w:val="20"/>
                                    </w:rPr>
                                    <w:t>0.009</w:t>
                                  </w:r>
                                </w:p>
                              </w:tc>
                            </w:tr>
                            <w:tr w:rsidR="007D625A" w14:paraId="16C89C0A" w14:textId="77777777">
                              <w:trPr>
                                <w:trHeight w:val="254"/>
                              </w:trPr>
                              <w:tc>
                                <w:tcPr>
                                  <w:tcW w:w="1200" w:type="dxa"/>
                                  <w:vMerge/>
                                  <w:tcBorders>
                                    <w:top w:val="single" w:sz="8" w:space="0" w:color="000000"/>
                                    <w:left w:val="single" w:sz="8" w:space="0" w:color="FFFFFF"/>
                                    <w:bottom w:val="single" w:sz="8" w:space="0" w:color="FFFFFF"/>
                                    <w:right w:val="single" w:sz="8" w:space="0" w:color="FFFFFF"/>
                                  </w:tcBorders>
                                  <w:shd w:val="clear" w:color="auto" w:fill="E8ECF3"/>
                                </w:tcPr>
                                <w:p w14:paraId="55C16931" w14:textId="77777777" w:rsidR="007D625A" w:rsidRDefault="007D625A"/>
                              </w:tc>
                              <w:tc>
                                <w:tcPr>
                                  <w:tcW w:w="172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77ED6373" w14:textId="77777777" w:rsidR="007D625A" w:rsidRDefault="007D625A">
                                  <w:pPr>
                                    <w:pStyle w:val="Body"/>
                                  </w:pPr>
                                  <w:r>
                                    <w:rPr>
                                      <w:sz w:val="20"/>
                                      <w:szCs w:val="20"/>
                                    </w:rPr>
                                    <w:t>G allele frequency</w:t>
                                  </w:r>
                                </w:p>
                              </w:tc>
                              <w:tc>
                                <w:tcPr>
                                  <w:tcW w:w="120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690D2D22" w14:textId="77777777" w:rsidR="007D625A" w:rsidRDefault="007D625A">
                                  <w:pPr>
                                    <w:pStyle w:val="Body"/>
                                  </w:pPr>
                                  <w:r>
                                    <w:rPr>
                                      <w:sz w:val="20"/>
                                      <w:szCs w:val="20"/>
                                    </w:rPr>
                                    <w:t>60 (41.66)</w:t>
                                  </w:r>
                                </w:p>
                              </w:tc>
                              <w:tc>
                                <w:tcPr>
                                  <w:tcW w:w="143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39896305" w14:textId="77777777" w:rsidR="007D625A" w:rsidRDefault="007D625A">
                                  <w:pPr>
                                    <w:pStyle w:val="Body"/>
                                  </w:pPr>
                                  <w:r>
                                    <w:rPr>
                                      <w:sz w:val="20"/>
                                      <w:szCs w:val="20"/>
                                    </w:rPr>
                                    <w:t>85 (47.22)</w:t>
                                  </w:r>
                                </w:p>
                              </w:tc>
                              <w:tc>
                                <w:tcPr>
                                  <w:tcW w:w="184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66A87F58" w14:textId="77777777" w:rsidR="007D625A" w:rsidRDefault="007D625A">
                                  <w:pPr>
                                    <w:pStyle w:val="Body"/>
                                    <w:jc w:val="center"/>
                                  </w:pPr>
                                  <w:r>
                                    <w:rPr>
                                      <w:sz w:val="20"/>
                                      <w:szCs w:val="20"/>
                                    </w:rPr>
                                    <w:t>0.577 (0.336-0.802)</w:t>
                                  </w:r>
                                </w:p>
                              </w:tc>
                              <w:tc>
                                <w:tcPr>
                                  <w:tcW w:w="82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692A4C93" w14:textId="77777777" w:rsidR="007D625A" w:rsidRDefault="007D625A">
                                  <w:pPr>
                                    <w:pStyle w:val="Body"/>
                                    <w:jc w:val="center"/>
                                  </w:pPr>
                                  <w:r>
                                    <w:rPr>
                                      <w:sz w:val="20"/>
                                      <w:szCs w:val="20"/>
                                    </w:rPr>
                                    <w:t>0.001</w:t>
                                  </w:r>
                                </w:p>
                              </w:tc>
                            </w:tr>
                            <w:tr w:rsidR="007D625A" w14:paraId="297F8517" w14:textId="77777777">
                              <w:trPr>
                                <w:trHeight w:val="254"/>
                              </w:trPr>
                              <w:tc>
                                <w:tcPr>
                                  <w:tcW w:w="1200" w:type="dxa"/>
                                  <w:vMerge/>
                                  <w:tcBorders>
                                    <w:top w:val="single" w:sz="8" w:space="0" w:color="000000"/>
                                    <w:left w:val="single" w:sz="8" w:space="0" w:color="FFFFFF"/>
                                    <w:bottom w:val="single" w:sz="8" w:space="0" w:color="FFFFFF"/>
                                    <w:right w:val="single" w:sz="8" w:space="0" w:color="FFFFFF"/>
                                  </w:tcBorders>
                                  <w:shd w:val="clear" w:color="auto" w:fill="E8ECF3"/>
                                </w:tcPr>
                                <w:p w14:paraId="2916F00B" w14:textId="77777777" w:rsidR="007D625A" w:rsidRDefault="007D625A"/>
                              </w:tc>
                              <w:tc>
                                <w:tcPr>
                                  <w:tcW w:w="17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003A99D" w14:textId="77777777" w:rsidR="007D625A" w:rsidRDefault="007D625A">
                                  <w:pPr>
                                    <w:pStyle w:val="Body"/>
                                  </w:pPr>
                                  <w:r>
                                    <w:rPr>
                                      <w:sz w:val="20"/>
                                      <w:szCs w:val="20"/>
                                    </w:rPr>
                                    <w:t>T allele frequency</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78EE126" w14:textId="77777777" w:rsidR="007D625A" w:rsidRDefault="007D625A">
                                  <w:pPr>
                                    <w:pStyle w:val="Body"/>
                                  </w:pPr>
                                  <w:r>
                                    <w:rPr>
                                      <w:sz w:val="20"/>
                                      <w:szCs w:val="20"/>
                                    </w:rPr>
                                    <w:t>84 (58.33)</w:t>
                                  </w:r>
                                </w:p>
                              </w:tc>
                              <w:tc>
                                <w:tcPr>
                                  <w:tcW w:w="1432"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F60450D" w14:textId="77777777" w:rsidR="007D625A" w:rsidRDefault="007D625A">
                                  <w:pPr>
                                    <w:pStyle w:val="Body"/>
                                  </w:pPr>
                                  <w:r>
                                    <w:rPr>
                                      <w:sz w:val="20"/>
                                      <w:szCs w:val="20"/>
                                    </w:rPr>
                                    <w:t>95 (52.77)</w:t>
                                  </w:r>
                                </w:p>
                              </w:tc>
                              <w:tc>
                                <w:tcPr>
                                  <w:tcW w:w="18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4B45B9D2" w14:textId="77777777" w:rsidR="007D625A" w:rsidRDefault="007D625A">
                                  <w:pPr>
                                    <w:pStyle w:val="Body"/>
                                    <w:jc w:val="center"/>
                                  </w:pPr>
                                  <w:r>
                                    <w:rPr>
                                      <w:sz w:val="20"/>
                                      <w:szCs w:val="20"/>
                                    </w:rPr>
                                    <w:t>0.905 (0.879-1.126)</w:t>
                                  </w:r>
                                </w:p>
                              </w:tc>
                              <w:tc>
                                <w:tcPr>
                                  <w:tcW w:w="8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4CF68CAC" w14:textId="77777777" w:rsidR="007D625A" w:rsidRDefault="007D625A">
                                  <w:pPr>
                                    <w:pStyle w:val="Body"/>
                                    <w:jc w:val="center"/>
                                  </w:pPr>
                                  <w:r>
                                    <w:rPr>
                                      <w:sz w:val="20"/>
                                      <w:szCs w:val="20"/>
                                    </w:rPr>
                                    <w:t>0.005</w:t>
                                  </w:r>
                                </w:p>
                              </w:tc>
                            </w:tr>
                            <w:tr w:rsidR="007D625A" w14:paraId="5B6D0537" w14:textId="77777777">
                              <w:trPr>
                                <w:trHeight w:val="254"/>
                              </w:trPr>
                              <w:tc>
                                <w:tcPr>
                                  <w:tcW w:w="120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1C219EB2" w14:textId="77777777" w:rsidR="007D625A" w:rsidRDefault="007D625A"/>
                              </w:tc>
                              <w:tc>
                                <w:tcPr>
                                  <w:tcW w:w="172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50D1D640" w14:textId="77777777" w:rsidR="007D625A" w:rsidRDefault="007D625A"/>
                              </w:tc>
                              <w:tc>
                                <w:tcPr>
                                  <w:tcW w:w="120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1D1528F3" w14:textId="77777777" w:rsidR="007D625A" w:rsidRDefault="007D625A"/>
                              </w:tc>
                              <w:tc>
                                <w:tcPr>
                                  <w:tcW w:w="143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4FD0A1A2" w14:textId="77777777" w:rsidR="007D625A" w:rsidRDefault="007D625A"/>
                              </w:tc>
                              <w:tc>
                                <w:tcPr>
                                  <w:tcW w:w="184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11D595E7" w14:textId="77777777" w:rsidR="007D625A" w:rsidRDefault="007D625A"/>
                              </w:tc>
                              <w:tc>
                                <w:tcPr>
                                  <w:tcW w:w="82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49E46E6C" w14:textId="77777777" w:rsidR="007D625A" w:rsidRDefault="007D625A"/>
                              </w:tc>
                            </w:tr>
                            <w:tr w:rsidR="007D625A" w14:paraId="59D8B800" w14:textId="77777777">
                              <w:trPr>
                                <w:trHeight w:val="254"/>
                              </w:trPr>
                              <w:tc>
                                <w:tcPr>
                                  <w:tcW w:w="1200" w:type="dxa"/>
                                  <w:vMerge w:val="restart"/>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006E02F9" w14:textId="77777777" w:rsidR="007D625A" w:rsidRDefault="007D625A">
                                  <w:pPr>
                                    <w:pStyle w:val="Body"/>
                                    <w:jc w:val="center"/>
                                  </w:pPr>
                                  <w:r>
                                    <w:rPr>
                                      <w:sz w:val="20"/>
                                      <w:szCs w:val="20"/>
                                    </w:rPr>
                                    <w:t>TNF-alpha</w:t>
                                  </w:r>
                                </w:p>
                                <w:p w14:paraId="1774C4D4" w14:textId="77777777" w:rsidR="007D625A" w:rsidRDefault="007D625A">
                                  <w:pPr>
                                    <w:pStyle w:val="Body"/>
                                    <w:jc w:val="center"/>
                                  </w:pPr>
                                  <w:r>
                                    <w:rPr>
                                      <w:sz w:val="20"/>
                                      <w:szCs w:val="20"/>
                                    </w:rPr>
                                    <w:t>-308G/A</w:t>
                                  </w:r>
                                </w:p>
                              </w:tc>
                              <w:tc>
                                <w:tcPr>
                                  <w:tcW w:w="17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5AFBF99" w14:textId="77777777" w:rsidR="007D625A" w:rsidRDefault="007D625A">
                                  <w:pPr>
                                    <w:pStyle w:val="Body"/>
                                  </w:pPr>
                                  <w:r>
                                    <w:rPr>
                                      <w:sz w:val="20"/>
                                      <w:szCs w:val="20"/>
                                    </w:rPr>
                                    <w:t>GG</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25639F7" w14:textId="77777777" w:rsidR="007D625A" w:rsidRDefault="007D625A">
                                  <w:pPr>
                                    <w:pStyle w:val="Body"/>
                                  </w:pPr>
                                  <w:r>
                                    <w:rPr>
                                      <w:sz w:val="20"/>
                                      <w:szCs w:val="20"/>
                                    </w:rPr>
                                    <w:t>53 (73.61)</w:t>
                                  </w:r>
                                </w:p>
                              </w:tc>
                              <w:tc>
                                <w:tcPr>
                                  <w:tcW w:w="1432"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0FAB82E" w14:textId="77777777" w:rsidR="007D625A" w:rsidRDefault="007D625A">
                                  <w:pPr>
                                    <w:pStyle w:val="Body"/>
                                  </w:pPr>
                                  <w:r>
                                    <w:rPr>
                                      <w:sz w:val="20"/>
                                      <w:szCs w:val="20"/>
                                    </w:rPr>
                                    <w:t>60 (66.66)</w:t>
                                  </w:r>
                                </w:p>
                              </w:tc>
                              <w:tc>
                                <w:tcPr>
                                  <w:tcW w:w="18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D78BBDD" w14:textId="77777777" w:rsidR="007D625A" w:rsidRDefault="007D625A">
                                  <w:pPr>
                                    <w:pStyle w:val="Body"/>
                                    <w:jc w:val="center"/>
                                  </w:pPr>
                                  <w:r>
                                    <w:rPr>
                                      <w:sz w:val="20"/>
                                      <w:szCs w:val="20"/>
                                    </w:rPr>
                                    <w:t>0.830 (0.601-0.976)</w:t>
                                  </w:r>
                                </w:p>
                              </w:tc>
                              <w:tc>
                                <w:tcPr>
                                  <w:tcW w:w="8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BCBF090" w14:textId="77777777" w:rsidR="007D625A" w:rsidRDefault="007D625A">
                                  <w:pPr>
                                    <w:pStyle w:val="Body"/>
                                    <w:jc w:val="center"/>
                                  </w:pPr>
                                  <w:r>
                                    <w:rPr>
                                      <w:sz w:val="20"/>
                                      <w:szCs w:val="20"/>
                                    </w:rPr>
                                    <w:t>0.004</w:t>
                                  </w:r>
                                </w:p>
                              </w:tc>
                            </w:tr>
                            <w:tr w:rsidR="007D625A" w14:paraId="0C233A14" w14:textId="77777777">
                              <w:trPr>
                                <w:trHeight w:val="254"/>
                              </w:trPr>
                              <w:tc>
                                <w:tcPr>
                                  <w:tcW w:w="1200" w:type="dxa"/>
                                  <w:vMerge/>
                                  <w:tcBorders>
                                    <w:top w:val="single" w:sz="8" w:space="0" w:color="FFFFFF"/>
                                    <w:left w:val="single" w:sz="8" w:space="0" w:color="FFFFFF"/>
                                    <w:bottom w:val="single" w:sz="8" w:space="0" w:color="000000"/>
                                    <w:right w:val="single" w:sz="8" w:space="0" w:color="FFFFFF"/>
                                  </w:tcBorders>
                                  <w:shd w:val="clear" w:color="auto" w:fill="auto"/>
                                </w:tcPr>
                                <w:p w14:paraId="6A17C338" w14:textId="77777777" w:rsidR="007D625A" w:rsidRDefault="007D625A"/>
                              </w:tc>
                              <w:tc>
                                <w:tcPr>
                                  <w:tcW w:w="172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2CA938C6" w14:textId="77777777" w:rsidR="007D625A" w:rsidRDefault="007D625A">
                                  <w:pPr>
                                    <w:pStyle w:val="Body"/>
                                  </w:pPr>
                                  <w:r>
                                    <w:rPr>
                                      <w:sz w:val="20"/>
                                      <w:szCs w:val="20"/>
                                    </w:rPr>
                                    <w:t>GA</w:t>
                                  </w:r>
                                </w:p>
                              </w:tc>
                              <w:tc>
                                <w:tcPr>
                                  <w:tcW w:w="120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72F3E050" w14:textId="77777777" w:rsidR="007D625A" w:rsidRDefault="007D625A">
                                  <w:pPr>
                                    <w:pStyle w:val="Body"/>
                                  </w:pPr>
                                  <w:r>
                                    <w:rPr>
                                      <w:sz w:val="20"/>
                                      <w:szCs w:val="20"/>
                                    </w:rPr>
                                    <w:t>17 (23.61)</w:t>
                                  </w:r>
                                </w:p>
                              </w:tc>
                              <w:tc>
                                <w:tcPr>
                                  <w:tcW w:w="143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10F15BD8" w14:textId="77777777" w:rsidR="007D625A" w:rsidRDefault="007D625A">
                                  <w:pPr>
                                    <w:pStyle w:val="Body"/>
                                  </w:pPr>
                                  <w:r>
                                    <w:rPr>
                                      <w:sz w:val="20"/>
                                      <w:szCs w:val="20"/>
                                    </w:rPr>
                                    <w:t>30 (33.330</w:t>
                                  </w:r>
                                </w:p>
                              </w:tc>
                              <w:tc>
                                <w:tcPr>
                                  <w:tcW w:w="184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165D2DD6" w14:textId="77777777" w:rsidR="007D625A" w:rsidRDefault="007D625A">
                                  <w:pPr>
                                    <w:pStyle w:val="Body"/>
                                    <w:jc w:val="center"/>
                                  </w:pPr>
                                  <w:r>
                                    <w:rPr>
                                      <w:sz w:val="20"/>
                                      <w:szCs w:val="20"/>
                                    </w:rPr>
                                    <w:t>1.197 (0.635-1.351)</w:t>
                                  </w:r>
                                </w:p>
                              </w:tc>
                              <w:tc>
                                <w:tcPr>
                                  <w:tcW w:w="82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0FB41F58" w14:textId="77777777" w:rsidR="007D625A" w:rsidRDefault="007D625A">
                                  <w:pPr>
                                    <w:pStyle w:val="Body"/>
                                    <w:jc w:val="center"/>
                                  </w:pPr>
                                  <w:r>
                                    <w:rPr>
                                      <w:sz w:val="20"/>
                                      <w:szCs w:val="20"/>
                                    </w:rPr>
                                    <w:t>0.08</w:t>
                                  </w:r>
                                </w:p>
                              </w:tc>
                            </w:tr>
                            <w:tr w:rsidR="007D625A" w14:paraId="6D00E680" w14:textId="77777777">
                              <w:trPr>
                                <w:trHeight w:val="254"/>
                              </w:trPr>
                              <w:tc>
                                <w:tcPr>
                                  <w:tcW w:w="1200" w:type="dxa"/>
                                  <w:vMerge/>
                                  <w:tcBorders>
                                    <w:top w:val="single" w:sz="8" w:space="0" w:color="FFFFFF"/>
                                    <w:left w:val="single" w:sz="8" w:space="0" w:color="FFFFFF"/>
                                    <w:bottom w:val="single" w:sz="8" w:space="0" w:color="000000"/>
                                    <w:right w:val="single" w:sz="8" w:space="0" w:color="FFFFFF"/>
                                  </w:tcBorders>
                                  <w:shd w:val="clear" w:color="auto" w:fill="auto"/>
                                </w:tcPr>
                                <w:p w14:paraId="3E77D334" w14:textId="77777777" w:rsidR="007D625A" w:rsidRDefault="007D625A"/>
                              </w:tc>
                              <w:tc>
                                <w:tcPr>
                                  <w:tcW w:w="17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5EE45BD" w14:textId="77777777" w:rsidR="007D625A" w:rsidRDefault="007D625A">
                                  <w:pPr>
                                    <w:pStyle w:val="Body"/>
                                  </w:pPr>
                                  <w:r>
                                    <w:rPr>
                                      <w:sz w:val="20"/>
                                      <w:szCs w:val="20"/>
                                    </w:rPr>
                                    <w:t>AA</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0F620F3" w14:textId="77777777" w:rsidR="007D625A" w:rsidRDefault="007D625A">
                                  <w:pPr>
                                    <w:pStyle w:val="Body"/>
                                  </w:pPr>
                                  <w:r>
                                    <w:rPr>
                                      <w:sz w:val="20"/>
                                      <w:szCs w:val="20"/>
                                    </w:rPr>
                                    <w:t>2 (2.77)</w:t>
                                  </w:r>
                                </w:p>
                              </w:tc>
                              <w:tc>
                                <w:tcPr>
                                  <w:tcW w:w="1432"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2D5AFA72" w14:textId="77777777" w:rsidR="007D625A" w:rsidRDefault="007D625A">
                                  <w:pPr>
                                    <w:pStyle w:val="Body"/>
                                  </w:pPr>
                                  <w:r>
                                    <w:rPr>
                                      <w:sz w:val="20"/>
                                      <w:szCs w:val="20"/>
                                    </w:rPr>
                                    <w:t>-</w:t>
                                  </w:r>
                                </w:p>
                              </w:tc>
                              <w:tc>
                                <w:tcPr>
                                  <w:tcW w:w="18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646BE1C" w14:textId="77777777" w:rsidR="007D625A" w:rsidRDefault="007D625A">
                                  <w:pPr>
                                    <w:pStyle w:val="Body"/>
                                    <w:jc w:val="center"/>
                                  </w:pPr>
                                  <w:r>
                                    <w:rPr>
                                      <w:sz w:val="20"/>
                                      <w:szCs w:val="20"/>
                                    </w:rPr>
                                    <w:t>1.321 (1.135-1.611)</w:t>
                                  </w:r>
                                </w:p>
                              </w:tc>
                              <w:tc>
                                <w:tcPr>
                                  <w:tcW w:w="8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32F7F1B8" w14:textId="77777777" w:rsidR="007D625A" w:rsidRDefault="007D625A">
                                  <w:pPr>
                                    <w:pStyle w:val="Body"/>
                                    <w:jc w:val="center"/>
                                  </w:pPr>
                                  <w:r>
                                    <w:rPr>
                                      <w:sz w:val="20"/>
                                      <w:szCs w:val="20"/>
                                    </w:rPr>
                                    <w:t>0.06</w:t>
                                  </w:r>
                                </w:p>
                              </w:tc>
                            </w:tr>
                            <w:tr w:rsidR="007D625A" w14:paraId="65F7AD26" w14:textId="77777777">
                              <w:trPr>
                                <w:trHeight w:val="254"/>
                              </w:trPr>
                              <w:tc>
                                <w:tcPr>
                                  <w:tcW w:w="1200" w:type="dxa"/>
                                  <w:vMerge/>
                                  <w:tcBorders>
                                    <w:top w:val="single" w:sz="8" w:space="0" w:color="FFFFFF"/>
                                    <w:left w:val="single" w:sz="8" w:space="0" w:color="FFFFFF"/>
                                    <w:bottom w:val="single" w:sz="8" w:space="0" w:color="000000"/>
                                    <w:right w:val="single" w:sz="8" w:space="0" w:color="FFFFFF"/>
                                  </w:tcBorders>
                                  <w:shd w:val="clear" w:color="auto" w:fill="auto"/>
                                </w:tcPr>
                                <w:p w14:paraId="5697A15A" w14:textId="77777777" w:rsidR="007D625A" w:rsidRDefault="007D625A"/>
                              </w:tc>
                              <w:tc>
                                <w:tcPr>
                                  <w:tcW w:w="172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1215E66B" w14:textId="77777777" w:rsidR="007D625A" w:rsidRDefault="007D625A">
                                  <w:pPr>
                                    <w:pStyle w:val="Body"/>
                                  </w:pPr>
                                  <w:r>
                                    <w:rPr>
                                      <w:sz w:val="20"/>
                                      <w:szCs w:val="20"/>
                                    </w:rPr>
                                    <w:t>G allele frequency</w:t>
                                  </w:r>
                                </w:p>
                              </w:tc>
                              <w:tc>
                                <w:tcPr>
                                  <w:tcW w:w="120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6D355FD9" w14:textId="77777777" w:rsidR="007D625A" w:rsidRDefault="007D625A">
                                  <w:pPr>
                                    <w:pStyle w:val="Body"/>
                                  </w:pPr>
                                  <w:r>
                                    <w:rPr>
                                      <w:sz w:val="20"/>
                                      <w:szCs w:val="20"/>
                                    </w:rPr>
                                    <w:t>123 (70.83)</w:t>
                                  </w:r>
                                </w:p>
                              </w:tc>
                              <w:tc>
                                <w:tcPr>
                                  <w:tcW w:w="143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33AB04E3" w14:textId="77777777" w:rsidR="007D625A" w:rsidRDefault="007D625A">
                                  <w:pPr>
                                    <w:pStyle w:val="Body"/>
                                  </w:pPr>
                                  <w:r>
                                    <w:rPr>
                                      <w:sz w:val="20"/>
                                      <w:szCs w:val="20"/>
                                    </w:rPr>
                                    <w:t>150 (83.33)</w:t>
                                  </w:r>
                                </w:p>
                              </w:tc>
                              <w:tc>
                                <w:tcPr>
                                  <w:tcW w:w="184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42E75873" w14:textId="77777777" w:rsidR="007D625A" w:rsidRDefault="007D625A">
                                  <w:pPr>
                                    <w:pStyle w:val="Body"/>
                                    <w:jc w:val="center"/>
                                  </w:pPr>
                                  <w:r>
                                    <w:rPr>
                                      <w:sz w:val="20"/>
                                      <w:szCs w:val="20"/>
                                    </w:rPr>
                                    <w:t>0.789 (0.579-0.956)</w:t>
                                  </w:r>
                                </w:p>
                              </w:tc>
                              <w:tc>
                                <w:tcPr>
                                  <w:tcW w:w="82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40390167" w14:textId="77777777" w:rsidR="007D625A" w:rsidRDefault="007D625A">
                                  <w:pPr>
                                    <w:pStyle w:val="Body"/>
                                    <w:jc w:val="center"/>
                                  </w:pPr>
                                  <w:r>
                                    <w:rPr>
                                      <w:sz w:val="20"/>
                                      <w:szCs w:val="20"/>
                                    </w:rPr>
                                    <w:t>0.005</w:t>
                                  </w:r>
                                </w:p>
                              </w:tc>
                            </w:tr>
                            <w:tr w:rsidR="007D625A" w14:paraId="5037137C" w14:textId="77777777">
                              <w:trPr>
                                <w:trHeight w:val="254"/>
                              </w:trPr>
                              <w:tc>
                                <w:tcPr>
                                  <w:tcW w:w="1200" w:type="dxa"/>
                                  <w:vMerge/>
                                  <w:tcBorders>
                                    <w:top w:val="single" w:sz="8" w:space="0" w:color="FFFFFF"/>
                                    <w:left w:val="single" w:sz="8" w:space="0" w:color="FFFFFF"/>
                                    <w:bottom w:val="single" w:sz="8" w:space="0" w:color="000000"/>
                                    <w:right w:val="single" w:sz="8" w:space="0" w:color="FFFFFF"/>
                                  </w:tcBorders>
                                  <w:shd w:val="clear" w:color="auto" w:fill="auto"/>
                                </w:tcPr>
                                <w:p w14:paraId="69BA77C0" w14:textId="77777777" w:rsidR="007D625A" w:rsidRDefault="007D625A"/>
                              </w:tc>
                              <w:tc>
                                <w:tcPr>
                                  <w:tcW w:w="1720" w:type="dxa"/>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3190DEA3" w14:textId="77777777" w:rsidR="007D625A" w:rsidRDefault="007D625A">
                                  <w:pPr>
                                    <w:pStyle w:val="Body"/>
                                  </w:pPr>
                                  <w:r>
                                    <w:rPr>
                                      <w:sz w:val="20"/>
                                      <w:szCs w:val="20"/>
                                    </w:rPr>
                                    <w:t>A allele frequency</w:t>
                                  </w:r>
                                </w:p>
                              </w:tc>
                              <w:tc>
                                <w:tcPr>
                                  <w:tcW w:w="1200" w:type="dxa"/>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1DB9DD8C" w14:textId="77777777" w:rsidR="007D625A" w:rsidRDefault="007D625A">
                                  <w:pPr>
                                    <w:pStyle w:val="Body"/>
                                  </w:pPr>
                                  <w:r>
                                    <w:rPr>
                                      <w:sz w:val="20"/>
                                      <w:szCs w:val="20"/>
                                    </w:rPr>
                                    <w:t>21 (29.16)</w:t>
                                  </w:r>
                                </w:p>
                              </w:tc>
                              <w:tc>
                                <w:tcPr>
                                  <w:tcW w:w="1432" w:type="dxa"/>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7E74FE86" w14:textId="77777777" w:rsidR="007D625A" w:rsidRDefault="007D625A">
                                  <w:pPr>
                                    <w:pStyle w:val="Body"/>
                                  </w:pPr>
                                  <w:r>
                                    <w:rPr>
                                      <w:sz w:val="20"/>
                                      <w:szCs w:val="20"/>
                                    </w:rPr>
                                    <w:t>30 (16.66)</w:t>
                                  </w:r>
                                </w:p>
                              </w:tc>
                              <w:tc>
                                <w:tcPr>
                                  <w:tcW w:w="1840" w:type="dxa"/>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6955637F" w14:textId="77777777" w:rsidR="007D625A" w:rsidRDefault="007D625A">
                                  <w:pPr>
                                    <w:pStyle w:val="Body"/>
                                    <w:jc w:val="center"/>
                                  </w:pPr>
                                  <w:r>
                                    <w:rPr>
                                      <w:sz w:val="20"/>
                                      <w:szCs w:val="20"/>
                                    </w:rPr>
                                    <w:t>1.201 (1.002-1.487)</w:t>
                                  </w:r>
                                </w:p>
                              </w:tc>
                              <w:tc>
                                <w:tcPr>
                                  <w:tcW w:w="820" w:type="dxa"/>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0BD6F30E" w14:textId="77777777" w:rsidR="007D625A" w:rsidRDefault="007D625A">
                                  <w:pPr>
                                    <w:pStyle w:val="Body"/>
                                    <w:jc w:val="center"/>
                                  </w:pPr>
                                  <w:r>
                                    <w:rPr>
                                      <w:sz w:val="20"/>
                                      <w:szCs w:val="20"/>
                                    </w:rPr>
                                    <w:t>0.07</w:t>
                                  </w:r>
                                </w:p>
                              </w:tc>
                            </w:tr>
                          </w:tbl>
                          <w:p w14:paraId="6BF36D1C" w14:textId="77777777" w:rsidR="007D625A" w:rsidRDefault="007D625A"/>
                        </w:txbxContent>
                      </wps:txbx>
                      <wps:bodyPr lIns="0" tIns="0" rIns="0" bIns="0">
                        <a:spAutoFit/>
                      </wps:bodyPr>
                    </wps:wsp>
                  </a:graphicData>
                </a:graphic>
              </wp:anchor>
            </w:drawing>
          </mc:Choice>
          <mc:Fallback>
            <w:pict>
              <v:rect id="officeArt object" o:spid="_x0000_s1026" style="position:absolute;margin-left:56.7pt;margin-top:324.95pt;width:478pt;height:145.8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" filled="f" stroked="f">
                <v:textbox style="mso-fit-shape-to-text:t" inset="0,0,0,0">
                  <w:txbxContent>
                    <w:tbl>
                      <w:tblPr>
                        <w:tblStyle w:val="TableNormal1"/>
                        <w:tblW w:w="8212"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00"/>
                        <w:gridCol w:w="1720"/>
                        <w:gridCol w:w="1200"/>
                        <w:gridCol w:w="1432"/>
                        <w:gridCol w:w="1840"/>
                        <w:gridCol w:w="820"/>
                      </w:tblGrid>
                      <w:tr w:rsidR="007D625A" w14:paraId="2ED9186F" w14:textId="77777777">
                        <w:trPr>
                          <w:trHeight w:val="249"/>
                        </w:trPr>
                        <w:tc>
                          <w:tcPr>
                            <w:tcW w:w="1200" w:type="dxa"/>
                            <w:tcBorders>
                              <w:top w:val="single" w:sz="4"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1666A06A" w14:textId="77777777" w:rsidR="007D625A" w:rsidRDefault="007D625A">
                            <w:pPr>
                              <w:pStyle w:val="Body"/>
                              <w:jc w:val="center"/>
                            </w:pPr>
                            <w:r>
                              <w:rPr>
                                <w:b/>
                                <w:bCs/>
                                <w:sz w:val="20"/>
                                <w:szCs w:val="20"/>
                              </w:rPr>
                              <w:t>SNP ID</w:t>
                            </w:r>
                          </w:p>
                        </w:tc>
                        <w:tc>
                          <w:tcPr>
                            <w:tcW w:w="1720" w:type="dxa"/>
                            <w:tcBorders>
                              <w:top w:val="single" w:sz="4"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7A24D12E" w14:textId="77777777" w:rsidR="007D625A" w:rsidRDefault="007D625A">
                            <w:pPr>
                              <w:pStyle w:val="Body"/>
                              <w:jc w:val="center"/>
                            </w:pPr>
                            <w:r>
                              <w:rPr>
                                <w:b/>
                                <w:bCs/>
                                <w:sz w:val="20"/>
                                <w:szCs w:val="20"/>
                              </w:rPr>
                              <w:t>Variant</w:t>
                            </w:r>
                          </w:p>
                        </w:tc>
                        <w:tc>
                          <w:tcPr>
                            <w:tcW w:w="1200" w:type="dxa"/>
                            <w:tcBorders>
                              <w:top w:val="single" w:sz="4"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7179C745" w14:textId="77777777" w:rsidR="007D625A" w:rsidRDefault="007D625A">
                            <w:pPr>
                              <w:pStyle w:val="Body"/>
                            </w:pPr>
                            <w:r>
                              <w:rPr>
                                <w:b/>
                                <w:bCs/>
                                <w:sz w:val="20"/>
                                <w:szCs w:val="20"/>
                              </w:rPr>
                              <w:t>Cases n(%)</w:t>
                            </w:r>
                          </w:p>
                        </w:tc>
                        <w:tc>
                          <w:tcPr>
                            <w:tcW w:w="1432" w:type="dxa"/>
                            <w:tcBorders>
                              <w:top w:val="single" w:sz="4"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67DEA21E" w14:textId="77777777" w:rsidR="007D625A" w:rsidRDefault="007D625A">
                            <w:pPr>
                              <w:pStyle w:val="Body"/>
                            </w:pPr>
                            <w:r>
                              <w:rPr>
                                <w:b/>
                                <w:bCs/>
                                <w:sz w:val="20"/>
                                <w:szCs w:val="20"/>
                              </w:rPr>
                              <w:t>Controls n(%)</w:t>
                            </w:r>
                          </w:p>
                        </w:tc>
                        <w:tc>
                          <w:tcPr>
                            <w:tcW w:w="1840" w:type="dxa"/>
                            <w:tcBorders>
                              <w:top w:val="single" w:sz="4"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62FE4312" w14:textId="77777777" w:rsidR="007D625A" w:rsidRDefault="007D625A">
                            <w:pPr>
                              <w:pStyle w:val="Body"/>
                              <w:jc w:val="center"/>
                            </w:pPr>
                            <w:r>
                              <w:rPr>
                                <w:b/>
                                <w:bCs/>
                                <w:sz w:val="20"/>
                                <w:szCs w:val="20"/>
                              </w:rPr>
                              <w:t>OR (95% CI)</w:t>
                            </w:r>
                          </w:p>
                        </w:tc>
                        <w:tc>
                          <w:tcPr>
                            <w:tcW w:w="820" w:type="dxa"/>
                            <w:tcBorders>
                              <w:top w:val="single" w:sz="4"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4F5FF223" w14:textId="77777777" w:rsidR="007D625A" w:rsidRDefault="007D625A">
                            <w:pPr>
                              <w:pStyle w:val="Body"/>
                              <w:jc w:val="center"/>
                            </w:pPr>
                            <w:r>
                              <w:rPr>
                                <w:b/>
                                <w:bCs/>
                                <w:sz w:val="20"/>
                                <w:szCs w:val="20"/>
                              </w:rPr>
                              <w:t>P-value</w:t>
                            </w:r>
                          </w:p>
                        </w:tc>
                      </w:tr>
                      <w:tr w:rsidR="007D625A" w14:paraId="5E042CA4" w14:textId="77777777">
                        <w:trPr>
                          <w:trHeight w:val="254"/>
                        </w:trPr>
                        <w:tc>
                          <w:tcPr>
                            <w:tcW w:w="1200" w:type="dxa"/>
                            <w:vMerge w:val="restart"/>
                            <w:tcBorders>
                              <w:top w:val="single" w:sz="8" w:space="0" w:color="000000"/>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598B2D7E" w14:textId="77777777" w:rsidR="007D625A" w:rsidRDefault="007D625A">
                            <w:pPr>
                              <w:pStyle w:val="Body"/>
                              <w:jc w:val="center"/>
                              <w:rPr>
                                <w:sz w:val="20"/>
                                <w:szCs w:val="20"/>
                              </w:rPr>
                            </w:pPr>
                            <w:r>
                              <w:rPr>
                                <w:sz w:val="20"/>
                                <w:szCs w:val="20"/>
                              </w:rPr>
                              <w:t xml:space="preserve">      276G/T</w:t>
                            </w:r>
                          </w:p>
                          <w:p w14:paraId="4B5D2C70" w14:textId="77777777" w:rsidR="007D625A" w:rsidRDefault="007D625A">
                            <w:pPr>
                              <w:pStyle w:val="Body"/>
                              <w:jc w:val="center"/>
                            </w:pPr>
                            <w:r>
                              <w:rPr>
                                <w:sz w:val="20"/>
                                <w:szCs w:val="20"/>
                              </w:rPr>
                              <w:t>Adiponectin</w:t>
                            </w:r>
                          </w:p>
                        </w:tc>
                        <w:tc>
                          <w:tcPr>
                            <w:tcW w:w="1720" w:type="dxa"/>
                            <w:tcBorders>
                              <w:top w:val="single" w:sz="8" w:space="0" w:color="000000"/>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507EB395" w14:textId="77777777" w:rsidR="007D625A" w:rsidRDefault="007D625A">
                            <w:pPr>
                              <w:pStyle w:val="Body"/>
                            </w:pPr>
                            <w:r>
                              <w:rPr>
                                <w:sz w:val="20"/>
                                <w:szCs w:val="20"/>
                              </w:rPr>
                              <w:t>GG</w:t>
                            </w:r>
                          </w:p>
                        </w:tc>
                        <w:tc>
                          <w:tcPr>
                            <w:tcW w:w="1200" w:type="dxa"/>
                            <w:tcBorders>
                              <w:top w:val="single" w:sz="8" w:space="0" w:color="000000"/>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27BC2E60" w14:textId="77777777" w:rsidR="007D625A" w:rsidRDefault="007D625A">
                            <w:pPr>
                              <w:pStyle w:val="Body"/>
                            </w:pPr>
                            <w:r>
                              <w:rPr>
                                <w:sz w:val="20"/>
                                <w:szCs w:val="20"/>
                              </w:rPr>
                              <w:t>11 (15.27)</w:t>
                            </w:r>
                          </w:p>
                        </w:tc>
                        <w:tc>
                          <w:tcPr>
                            <w:tcW w:w="1432" w:type="dxa"/>
                            <w:tcBorders>
                              <w:top w:val="single" w:sz="8" w:space="0" w:color="000000"/>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794BEB25" w14:textId="77777777" w:rsidR="007D625A" w:rsidRDefault="007D625A">
                            <w:pPr>
                              <w:pStyle w:val="Body"/>
                            </w:pPr>
                            <w:r>
                              <w:rPr>
                                <w:sz w:val="20"/>
                                <w:szCs w:val="20"/>
                              </w:rPr>
                              <w:t>22 (24.44)</w:t>
                            </w:r>
                          </w:p>
                        </w:tc>
                        <w:tc>
                          <w:tcPr>
                            <w:tcW w:w="1840" w:type="dxa"/>
                            <w:tcBorders>
                              <w:top w:val="single" w:sz="8" w:space="0" w:color="000000"/>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7088D536" w14:textId="77777777" w:rsidR="007D625A" w:rsidRDefault="007D625A">
                            <w:pPr>
                              <w:pStyle w:val="Body"/>
                              <w:jc w:val="center"/>
                            </w:pPr>
                            <w:r>
                              <w:rPr>
                                <w:sz w:val="20"/>
                                <w:szCs w:val="20"/>
                              </w:rPr>
                              <w:t>0.405 (0.156-0.654)</w:t>
                            </w:r>
                          </w:p>
                        </w:tc>
                        <w:tc>
                          <w:tcPr>
                            <w:tcW w:w="820" w:type="dxa"/>
                            <w:tcBorders>
                              <w:top w:val="single" w:sz="8" w:space="0" w:color="000000"/>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4C6872AD" w14:textId="77777777" w:rsidR="007D625A" w:rsidRDefault="007D625A">
                            <w:pPr>
                              <w:pStyle w:val="Body"/>
                              <w:jc w:val="center"/>
                            </w:pPr>
                            <w:r>
                              <w:rPr>
                                <w:sz w:val="20"/>
                                <w:szCs w:val="20"/>
                              </w:rPr>
                              <w:t>0.001</w:t>
                            </w:r>
                          </w:p>
                        </w:tc>
                      </w:tr>
                      <w:tr w:rsidR="007D625A" w14:paraId="0E000213" w14:textId="77777777">
                        <w:trPr>
                          <w:trHeight w:val="254"/>
                        </w:trPr>
                        <w:tc>
                          <w:tcPr>
                            <w:tcW w:w="1200" w:type="dxa"/>
                            <w:vMerge/>
                            <w:tcBorders>
                              <w:top w:val="single" w:sz="8" w:space="0" w:color="000000"/>
                              <w:left w:val="single" w:sz="8" w:space="0" w:color="FFFFFF"/>
                              <w:bottom w:val="single" w:sz="8" w:space="0" w:color="FFFFFF"/>
                              <w:right w:val="single" w:sz="8" w:space="0" w:color="FFFFFF"/>
                            </w:tcBorders>
                            <w:shd w:val="clear" w:color="auto" w:fill="E8ECF3"/>
                          </w:tcPr>
                          <w:p w14:paraId="61316897" w14:textId="77777777" w:rsidR="007D625A" w:rsidRDefault="007D625A"/>
                        </w:tc>
                        <w:tc>
                          <w:tcPr>
                            <w:tcW w:w="17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3F8660F7" w14:textId="77777777" w:rsidR="007D625A" w:rsidRDefault="007D625A">
                            <w:pPr>
                              <w:pStyle w:val="Body"/>
                            </w:pPr>
                            <w:r>
                              <w:rPr>
                                <w:sz w:val="20"/>
                                <w:szCs w:val="20"/>
                              </w:rPr>
                              <w:t>GT</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2142C417" w14:textId="77777777" w:rsidR="007D625A" w:rsidRDefault="007D625A">
                            <w:pPr>
                              <w:pStyle w:val="Body"/>
                            </w:pPr>
                            <w:r>
                              <w:rPr>
                                <w:sz w:val="20"/>
                                <w:szCs w:val="20"/>
                              </w:rPr>
                              <w:t>38 (52.77)</w:t>
                            </w:r>
                          </w:p>
                        </w:tc>
                        <w:tc>
                          <w:tcPr>
                            <w:tcW w:w="1432"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9697076" w14:textId="77777777" w:rsidR="007D625A" w:rsidRDefault="007D625A">
                            <w:pPr>
                              <w:pStyle w:val="Body"/>
                            </w:pPr>
                            <w:r>
                              <w:rPr>
                                <w:sz w:val="20"/>
                                <w:szCs w:val="20"/>
                              </w:rPr>
                              <w:t>41 (45.55)</w:t>
                            </w:r>
                          </w:p>
                        </w:tc>
                        <w:tc>
                          <w:tcPr>
                            <w:tcW w:w="18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D0C2AFE" w14:textId="77777777" w:rsidR="007D625A" w:rsidRDefault="007D625A">
                            <w:pPr>
                              <w:pStyle w:val="Body"/>
                              <w:jc w:val="center"/>
                            </w:pPr>
                            <w:r>
                              <w:rPr>
                                <w:sz w:val="20"/>
                                <w:szCs w:val="20"/>
                              </w:rPr>
                              <w:t>0.623 (0.401-0.855)</w:t>
                            </w:r>
                          </w:p>
                        </w:tc>
                        <w:tc>
                          <w:tcPr>
                            <w:tcW w:w="8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6DA4117" w14:textId="77777777" w:rsidR="007D625A" w:rsidRDefault="007D625A">
                            <w:pPr>
                              <w:pStyle w:val="Body"/>
                              <w:jc w:val="center"/>
                            </w:pPr>
                            <w:r>
                              <w:rPr>
                                <w:sz w:val="20"/>
                                <w:szCs w:val="20"/>
                              </w:rPr>
                              <w:t>0.004</w:t>
                            </w:r>
                          </w:p>
                        </w:tc>
                      </w:tr>
                      <w:tr w:rsidR="007D625A" w14:paraId="6C38FEFA" w14:textId="77777777">
                        <w:trPr>
                          <w:trHeight w:val="254"/>
                        </w:trPr>
                        <w:tc>
                          <w:tcPr>
                            <w:tcW w:w="1200" w:type="dxa"/>
                            <w:vMerge/>
                            <w:tcBorders>
                              <w:top w:val="single" w:sz="8" w:space="0" w:color="000000"/>
                              <w:left w:val="single" w:sz="8" w:space="0" w:color="FFFFFF"/>
                              <w:bottom w:val="single" w:sz="8" w:space="0" w:color="FFFFFF"/>
                              <w:right w:val="single" w:sz="8" w:space="0" w:color="FFFFFF"/>
                            </w:tcBorders>
                            <w:shd w:val="clear" w:color="auto" w:fill="E8ECF3"/>
                          </w:tcPr>
                          <w:p w14:paraId="315C49E7" w14:textId="77777777" w:rsidR="007D625A" w:rsidRDefault="007D625A"/>
                        </w:tc>
                        <w:tc>
                          <w:tcPr>
                            <w:tcW w:w="172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3C8BE2D5" w14:textId="77777777" w:rsidR="007D625A" w:rsidRDefault="007D625A">
                            <w:pPr>
                              <w:pStyle w:val="Body"/>
                            </w:pPr>
                            <w:r>
                              <w:rPr>
                                <w:sz w:val="20"/>
                                <w:szCs w:val="20"/>
                              </w:rPr>
                              <w:t>TT</w:t>
                            </w:r>
                          </w:p>
                        </w:tc>
                        <w:tc>
                          <w:tcPr>
                            <w:tcW w:w="120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5D89DCE5" w14:textId="77777777" w:rsidR="007D625A" w:rsidRDefault="007D625A">
                            <w:pPr>
                              <w:pStyle w:val="Body"/>
                            </w:pPr>
                            <w:r>
                              <w:rPr>
                                <w:sz w:val="20"/>
                                <w:szCs w:val="20"/>
                              </w:rPr>
                              <w:t>23 (31.94)</w:t>
                            </w:r>
                          </w:p>
                        </w:tc>
                        <w:tc>
                          <w:tcPr>
                            <w:tcW w:w="143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0CEC1D07" w14:textId="77777777" w:rsidR="007D625A" w:rsidRDefault="007D625A">
                            <w:pPr>
                              <w:pStyle w:val="Body"/>
                            </w:pPr>
                            <w:r>
                              <w:rPr>
                                <w:sz w:val="20"/>
                                <w:szCs w:val="20"/>
                              </w:rPr>
                              <w:t>27 (30)</w:t>
                            </w:r>
                          </w:p>
                        </w:tc>
                        <w:tc>
                          <w:tcPr>
                            <w:tcW w:w="184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5922553B" w14:textId="77777777" w:rsidR="007D625A" w:rsidRDefault="007D625A">
                            <w:pPr>
                              <w:pStyle w:val="Body"/>
                              <w:jc w:val="center"/>
                            </w:pPr>
                            <w:r>
                              <w:rPr>
                                <w:sz w:val="20"/>
                                <w:szCs w:val="20"/>
                              </w:rPr>
                              <w:t>0.942 (0.806-1.128)</w:t>
                            </w:r>
                          </w:p>
                        </w:tc>
                        <w:tc>
                          <w:tcPr>
                            <w:tcW w:w="82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152CA169" w14:textId="77777777" w:rsidR="007D625A" w:rsidRDefault="007D625A">
                            <w:pPr>
                              <w:pStyle w:val="Body"/>
                              <w:jc w:val="center"/>
                            </w:pPr>
                            <w:r>
                              <w:rPr>
                                <w:sz w:val="20"/>
                                <w:szCs w:val="20"/>
                              </w:rPr>
                              <w:t>0.003</w:t>
                            </w:r>
                          </w:p>
                        </w:tc>
                      </w:tr>
                      <w:tr w:rsidR="007D625A" w14:paraId="30876884" w14:textId="77777777">
                        <w:trPr>
                          <w:trHeight w:val="254"/>
                        </w:trPr>
                        <w:tc>
                          <w:tcPr>
                            <w:tcW w:w="1200" w:type="dxa"/>
                            <w:vMerge/>
                            <w:tcBorders>
                              <w:top w:val="single" w:sz="8" w:space="0" w:color="000000"/>
                              <w:left w:val="single" w:sz="8" w:space="0" w:color="FFFFFF"/>
                              <w:bottom w:val="single" w:sz="8" w:space="0" w:color="FFFFFF"/>
                              <w:right w:val="single" w:sz="8" w:space="0" w:color="FFFFFF"/>
                            </w:tcBorders>
                            <w:shd w:val="clear" w:color="auto" w:fill="E8ECF3"/>
                          </w:tcPr>
                          <w:p w14:paraId="619AA1BF" w14:textId="77777777" w:rsidR="007D625A" w:rsidRDefault="007D625A"/>
                        </w:tc>
                        <w:tc>
                          <w:tcPr>
                            <w:tcW w:w="17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043C1001" w14:textId="77777777" w:rsidR="007D625A" w:rsidRDefault="007D625A">
                            <w:pPr>
                              <w:pStyle w:val="Body"/>
                            </w:pPr>
                            <w:r>
                              <w:rPr>
                                <w:sz w:val="20"/>
                                <w:szCs w:val="20"/>
                              </w:rPr>
                              <w:t>GT + TT</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0F3EB442" w14:textId="77777777" w:rsidR="007D625A" w:rsidRDefault="007D625A">
                            <w:pPr>
                              <w:pStyle w:val="Body"/>
                            </w:pPr>
                            <w:r>
                              <w:rPr>
                                <w:sz w:val="20"/>
                                <w:szCs w:val="20"/>
                              </w:rPr>
                              <w:t>61 (84.71)</w:t>
                            </w:r>
                          </w:p>
                        </w:tc>
                        <w:tc>
                          <w:tcPr>
                            <w:tcW w:w="1432"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395FCCC" w14:textId="77777777" w:rsidR="007D625A" w:rsidRDefault="007D625A">
                            <w:pPr>
                              <w:pStyle w:val="Body"/>
                            </w:pPr>
                            <w:r>
                              <w:rPr>
                                <w:sz w:val="20"/>
                                <w:szCs w:val="20"/>
                              </w:rPr>
                              <w:t>180 (90)</w:t>
                            </w:r>
                          </w:p>
                        </w:tc>
                        <w:tc>
                          <w:tcPr>
                            <w:tcW w:w="18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C10207C" w14:textId="77777777" w:rsidR="007D625A" w:rsidRDefault="007D625A">
                            <w:pPr>
                              <w:pStyle w:val="Body"/>
                              <w:jc w:val="center"/>
                            </w:pPr>
                            <w:r>
                              <w:rPr>
                                <w:sz w:val="20"/>
                                <w:szCs w:val="20"/>
                              </w:rPr>
                              <w:t>0.876 (0.587-1.988)</w:t>
                            </w:r>
                          </w:p>
                        </w:tc>
                        <w:tc>
                          <w:tcPr>
                            <w:tcW w:w="8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1BB10FB" w14:textId="77777777" w:rsidR="007D625A" w:rsidRDefault="007D625A">
                            <w:pPr>
                              <w:pStyle w:val="Body"/>
                              <w:jc w:val="center"/>
                            </w:pPr>
                            <w:r>
                              <w:rPr>
                                <w:sz w:val="20"/>
                                <w:szCs w:val="20"/>
                              </w:rPr>
                              <w:t>0.009</w:t>
                            </w:r>
                          </w:p>
                        </w:tc>
                      </w:tr>
                      <w:tr w:rsidR="007D625A" w14:paraId="16C89C0A" w14:textId="77777777">
                        <w:trPr>
                          <w:trHeight w:val="254"/>
                        </w:trPr>
                        <w:tc>
                          <w:tcPr>
                            <w:tcW w:w="1200" w:type="dxa"/>
                            <w:vMerge/>
                            <w:tcBorders>
                              <w:top w:val="single" w:sz="8" w:space="0" w:color="000000"/>
                              <w:left w:val="single" w:sz="8" w:space="0" w:color="FFFFFF"/>
                              <w:bottom w:val="single" w:sz="8" w:space="0" w:color="FFFFFF"/>
                              <w:right w:val="single" w:sz="8" w:space="0" w:color="FFFFFF"/>
                            </w:tcBorders>
                            <w:shd w:val="clear" w:color="auto" w:fill="E8ECF3"/>
                          </w:tcPr>
                          <w:p w14:paraId="55C16931" w14:textId="77777777" w:rsidR="007D625A" w:rsidRDefault="007D625A"/>
                        </w:tc>
                        <w:tc>
                          <w:tcPr>
                            <w:tcW w:w="172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77ED6373" w14:textId="77777777" w:rsidR="007D625A" w:rsidRDefault="007D625A">
                            <w:pPr>
                              <w:pStyle w:val="Body"/>
                            </w:pPr>
                            <w:r>
                              <w:rPr>
                                <w:sz w:val="20"/>
                                <w:szCs w:val="20"/>
                              </w:rPr>
                              <w:t>G allele frequency</w:t>
                            </w:r>
                          </w:p>
                        </w:tc>
                        <w:tc>
                          <w:tcPr>
                            <w:tcW w:w="120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690D2D22" w14:textId="77777777" w:rsidR="007D625A" w:rsidRDefault="007D625A">
                            <w:pPr>
                              <w:pStyle w:val="Body"/>
                            </w:pPr>
                            <w:r>
                              <w:rPr>
                                <w:sz w:val="20"/>
                                <w:szCs w:val="20"/>
                              </w:rPr>
                              <w:t>60 (41.66)</w:t>
                            </w:r>
                          </w:p>
                        </w:tc>
                        <w:tc>
                          <w:tcPr>
                            <w:tcW w:w="143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39896305" w14:textId="77777777" w:rsidR="007D625A" w:rsidRDefault="007D625A">
                            <w:pPr>
                              <w:pStyle w:val="Body"/>
                            </w:pPr>
                            <w:r>
                              <w:rPr>
                                <w:sz w:val="20"/>
                                <w:szCs w:val="20"/>
                              </w:rPr>
                              <w:t>85 (47.22)</w:t>
                            </w:r>
                          </w:p>
                        </w:tc>
                        <w:tc>
                          <w:tcPr>
                            <w:tcW w:w="184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66A87F58" w14:textId="77777777" w:rsidR="007D625A" w:rsidRDefault="007D625A">
                            <w:pPr>
                              <w:pStyle w:val="Body"/>
                              <w:jc w:val="center"/>
                            </w:pPr>
                            <w:r>
                              <w:rPr>
                                <w:sz w:val="20"/>
                                <w:szCs w:val="20"/>
                              </w:rPr>
                              <w:t>0.577 (0.336-0.802)</w:t>
                            </w:r>
                          </w:p>
                        </w:tc>
                        <w:tc>
                          <w:tcPr>
                            <w:tcW w:w="82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692A4C93" w14:textId="77777777" w:rsidR="007D625A" w:rsidRDefault="007D625A">
                            <w:pPr>
                              <w:pStyle w:val="Body"/>
                              <w:jc w:val="center"/>
                            </w:pPr>
                            <w:r>
                              <w:rPr>
                                <w:sz w:val="20"/>
                                <w:szCs w:val="20"/>
                              </w:rPr>
                              <w:t>0.001</w:t>
                            </w:r>
                          </w:p>
                        </w:tc>
                      </w:tr>
                      <w:tr w:rsidR="007D625A" w14:paraId="297F8517" w14:textId="77777777">
                        <w:trPr>
                          <w:trHeight w:val="254"/>
                        </w:trPr>
                        <w:tc>
                          <w:tcPr>
                            <w:tcW w:w="1200" w:type="dxa"/>
                            <w:vMerge/>
                            <w:tcBorders>
                              <w:top w:val="single" w:sz="8" w:space="0" w:color="000000"/>
                              <w:left w:val="single" w:sz="8" w:space="0" w:color="FFFFFF"/>
                              <w:bottom w:val="single" w:sz="8" w:space="0" w:color="FFFFFF"/>
                              <w:right w:val="single" w:sz="8" w:space="0" w:color="FFFFFF"/>
                            </w:tcBorders>
                            <w:shd w:val="clear" w:color="auto" w:fill="E8ECF3"/>
                          </w:tcPr>
                          <w:p w14:paraId="2916F00B" w14:textId="77777777" w:rsidR="007D625A" w:rsidRDefault="007D625A"/>
                        </w:tc>
                        <w:tc>
                          <w:tcPr>
                            <w:tcW w:w="17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003A99D" w14:textId="77777777" w:rsidR="007D625A" w:rsidRDefault="007D625A">
                            <w:pPr>
                              <w:pStyle w:val="Body"/>
                            </w:pPr>
                            <w:r>
                              <w:rPr>
                                <w:sz w:val="20"/>
                                <w:szCs w:val="20"/>
                              </w:rPr>
                              <w:t>T allele frequency</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78EE126" w14:textId="77777777" w:rsidR="007D625A" w:rsidRDefault="007D625A">
                            <w:pPr>
                              <w:pStyle w:val="Body"/>
                            </w:pPr>
                            <w:r>
                              <w:rPr>
                                <w:sz w:val="20"/>
                                <w:szCs w:val="20"/>
                              </w:rPr>
                              <w:t>84 (58.33)</w:t>
                            </w:r>
                          </w:p>
                        </w:tc>
                        <w:tc>
                          <w:tcPr>
                            <w:tcW w:w="1432"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F60450D" w14:textId="77777777" w:rsidR="007D625A" w:rsidRDefault="007D625A">
                            <w:pPr>
                              <w:pStyle w:val="Body"/>
                            </w:pPr>
                            <w:r>
                              <w:rPr>
                                <w:sz w:val="20"/>
                                <w:szCs w:val="20"/>
                              </w:rPr>
                              <w:t>95 (52.77)</w:t>
                            </w:r>
                          </w:p>
                        </w:tc>
                        <w:tc>
                          <w:tcPr>
                            <w:tcW w:w="18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4B45B9D2" w14:textId="77777777" w:rsidR="007D625A" w:rsidRDefault="007D625A">
                            <w:pPr>
                              <w:pStyle w:val="Body"/>
                              <w:jc w:val="center"/>
                            </w:pPr>
                            <w:r>
                              <w:rPr>
                                <w:sz w:val="20"/>
                                <w:szCs w:val="20"/>
                              </w:rPr>
                              <w:t>0.905 (0.879-1.126)</w:t>
                            </w:r>
                          </w:p>
                        </w:tc>
                        <w:tc>
                          <w:tcPr>
                            <w:tcW w:w="8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4CF68CAC" w14:textId="77777777" w:rsidR="007D625A" w:rsidRDefault="007D625A">
                            <w:pPr>
                              <w:pStyle w:val="Body"/>
                              <w:jc w:val="center"/>
                            </w:pPr>
                            <w:r>
                              <w:rPr>
                                <w:sz w:val="20"/>
                                <w:szCs w:val="20"/>
                              </w:rPr>
                              <w:t>0.005</w:t>
                            </w:r>
                          </w:p>
                        </w:tc>
                      </w:tr>
                      <w:tr w:rsidR="007D625A" w14:paraId="5B6D0537" w14:textId="77777777">
                        <w:trPr>
                          <w:trHeight w:val="254"/>
                        </w:trPr>
                        <w:tc>
                          <w:tcPr>
                            <w:tcW w:w="120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1C219EB2" w14:textId="77777777" w:rsidR="007D625A" w:rsidRDefault="007D625A"/>
                        </w:tc>
                        <w:tc>
                          <w:tcPr>
                            <w:tcW w:w="172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50D1D640" w14:textId="77777777" w:rsidR="007D625A" w:rsidRDefault="007D625A"/>
                        </w:tc>
                        <w:tc>
                          <w:tcPr>
                            <w:tcW w:w="120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1D1528F3" w14:textId="77777777" w:rsidR="007D625A" w:rsidRDefault="007D625A"/>
                        </w:tc>
                        <w:tc>
                          <w:tcPr>
                            <w:tcW w:w="143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4FD0A1A2" w14:textId="77777777" w:rsidR="007D625A" w:rsidRDefault="007D625A"/>
                        </w:tc>
                        <w:tc>
                          <w:tcPr>
                            <w:tcW w:w="184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11D595E7" w14:textId="77777777" w:rsidR="007D625A" w:rsidRDefault="007D625A"/>
                        </w:tc>
                        <w:tc>
                          <w:tcPr>
                            <w:tcW w:w="82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49E46E6C" w14:textId="77777777" w:rsidR="007D625A" w:rsidRDefault="007D625A"/>
                        </w:tc>
                      </w:tr>
                      <w:tr w:rsidR="007D625A" w14:paraId="59D8B800" w14:textId="77777777">
                        <w:trPr>
                          <w:trHeight w:val="254"/>
                        </w:trPr>
                        <w:tc>
                          <w:tcPr>
                            <w:tcW w:w="1200" w:type="dxa"/>
                            <w:vMerge w:val="restart"/>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006E02F9" w14:textId="77777777" w:rsidR="007D625A" w:rsidRDefault="007D625A">
                            <w:pPr>
                              <w:pStyle w:val="Body"/>
                              <w:jc w:val="center"/>
                            </w:pPr>
                            <w:r>
                              <w:rPr>
                                <w:sz w:val="20"/>
                                <w:szCs w:val="20"/>
                              </w:rPr>
                              <w:t>TNF-alpha</w:t>
                            </w:r>
                          </w:p>
                          <w:p w14:paraId="1774C4D4" w14:textId="77777777" w:rsidR="007D625A" w:rsidRDefault="007D625A">
                            <w:pPr>
                              <w:pStyle w:val="Body"/>
                              <w:jc w:val="center"/>
                            </w:pPr>
                            <w:r>
                              <w:rPr>
                                <w:sz w:val="20"/>
                                <w:szCs w:val="20"/>
                              </w:rPr>
                              <w:t>-308G/A</w:t>
                            </w:r>
                          </w:p>
                        </w:tc>
                        <w:tc>
                          <w:tcPr>
                            <w:tcW w:w="17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5AFBF99" w14:textId="77777777" w:rsidR="007D625A" w:rsidRDefault="007D625A">
                            <w:pPr>
                              <w:pStyle w:val="Body"/>
                            </w:pPr>
                            <w:r>
                              <w:rPr>
                                <w:sz w:val="20"/>
                                <w:szCs w:val="20"/>
                              </w:rPr>
                              <w:t>GG</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25639F7" w14:textId="77777777" w:rsidR="007D625A" w:rsidRDefault="007D625A">
                            <w:pPr>
                              <w:pStyle w:val="Body"/>
                            </w:pPr>
                            <w:r>
                              <w:rPr>
                                <w:sz w:val="20"/>
                                <w:szCs w:val="20"/>
                              </w:rPr>
                              <w:t>53 (73.61)</w:t>
                            </w:r>
                          </w:p>
                        </w:tc>
                        <w:tc>
                          <w:tcPr>
                            <w:tcW w:w="1432"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0FAB82E" w14:textId="77777777" w:rsidR="007D625A" w:rsidRDefault="007D625A">
                            <w:pPr>
                              <w:pStyle w:val="Body"/>
                            </w:pPr>
                            <w:r>
                              <w:rPr>
                                <w:sz w:val="20"/>
                                <w:szCs w:val="20"/>
                              </w:rPr>
                              <w:t>60 (66.66)</w:t>
                            </w:r>
                          </w:p>
                        </w:tc>
                        <w:tc>
                          <w:tcPr>
                            <w:tcW w:w="18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D78BBDD" w14:textId="77777777" w:rsidR="007D625A" w:rsidRDefault="007D625A">
                            <w:pPr>
                              <w:pStyle w:val="Body"/>
                              <w:jc w:val="center"/>
                            </w:pPr>
                            <w:r>
                              <w:rPr>
                                <w:sz w:val="20"/>
                                <w:szCs w:val="20"/>
                              </w:rPr>
                              <w:t>0.830 (0.601-0.976)</w:t>
                            </w:r>
                          </w:p>
                        </w:tc>
                        <w:tc>
                          <w:tcPr>
                            <w:tcW w:w="8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BCBF090" w14:textId="77777777" w:rsidR="007D625A" w:rsidRDefault="007D625A">
                            <w:pPr>
                              <w:pStyle w:val="Body"/>
                              <w:jc w:val="center"/>
                            </w:pPr>
                            <w:r>
                              <w:rPr>
                                <w:sz w:val="20"/>
                                <w:szCs w:val="20"/>
                              </w:rPr>
                              <w:t>0.004</w:t>
                            </w:r>
                          </w:p>
                        </w:tc>
                      </w:tr>
                      <w:tr w:rsidR="007D625A" w14:paraId="0C233A14" w14:textId="77777777">
                        <w:trPr>
                          <w:trHeight w:val="254"/>
                        </w:trPr>
                        <w:tc>
                          <w:tcPr>
                            <w:tcW w:w="1200" w:type="dxa"/>
                            <w:vMerge/>
                            <w:tcBorders>
                              <w:top w:val="single" w:sz="8" w:space="0" w:color="FFFFFF"/>
                              <w:left w:val="single" w:sz="8" w:space="0" w:color="FFFFFF"/>
                              <w:bottom w:val="single" w:sz="8" w:space="0" w:color="000000"/>
                              <w:right w:val="single" w:sz="8" w:space="0" w:color="FFFFFF"/>
                            </w:tcBorders>
                            <w:shd w:val="clear" w:color="auto" w:fill="auto"/>
                          </w:tcPr>
                          <w:p w14:paraId="6A17C338" w14:textId="77777777" w:rsidR="007D625A" w:rsidRDefault="007D625A"/>
                        </w:tc>
                        <w:tc>
                          <w:tcPr>
                            <w:tcW w:w="172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2CA938C6" w14:textId="77777777" w:rsidR="007D625A" w:rsidRDefault="007D625A">
                            <w:pPr>
                              <w:pStyle w:val="Body"/>
                            </w:pPr>
                            <w:r>
                              <w:rPr>
                                <w:sz w:val="20"/>
                                <w:szCs w:val="20"/>
                              </w:rPr>
                              <w:t>GA</w:t>
                            </w:r>
                          </w:p>
                        </w:tc>
                        <w:tc>
                          <w:tcPr>
                            <w:tcW w:w="120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72F3E050" w14:textId="77777777" w:rsidR="007D625A" w:rsidRDefault="007D625A">
                            <w:pPr>
                              <w:pStyle w:val="Body"/>
                            </w:pPr>
                            <w:r>
                              <w:rPr>
                                <w:sz w:val="20"/>
                                <w:szCs w:val="20"/>
                              </w:rPr>
                              <w:t>17 (23.61)</w:t>
                            </w:r>
                          </w:p>
                        </w:tc>
                        <w:tc>
                          <w:tcPr>
                            <w:tcW w:w="143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10F15BD8" w14:textId="77777777" w:rsidR="007D625A" w:rsidRDefault="007D625A">
                            <w:pPr>
                              <w:pStyle w:val="Body"/>
                            </w:pPr>
                            <w:r>
                              <w:rPr>
                                <w:sz w:val="20"/>
                                <w:szCs w:val="20"/>
                              </w:rPr>
                              <w:t>30 (33.330</w:t>
                            </w:r>
                          </w:p>
                        </w:tc>
                        <w:tc>
                          <w:tcPr>
                            <w:tcW w:w="184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165D2DD6" w14:textId="77777777" w:rsidR="007D625A" w:rsidRDefault="007D625A">
                            <w:pPr>
                              <w:pStyle w:val="Body"/>
                              <w:jc w:val="center"/>
                            </w:pPr>
                            <w:r>
                              <w:rPr>
                                <w:sz w:val="20"/>
                                <w:szCs w:val="20"/>
                              </w:rPr>
                              <w:t>1.197 (0.635-1.351)</w:t>
                            </w:r>
                          </w:p>
                        </w:tc>
                        <w:tc>
                          <w:tcPr>
                            <w:tcW w:w="82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0FB41F58" w14:textId="77777777" w:rsidR="007D625A" w:rsidRDefault="007D625A">
                            <w:pPr>
                              <w:pStyle w:val="Body"/>
                              <w:jc w:val="center"/>
                            </w:pPr>
                            <w:r>
                              <w:rPr>
                                <w:sz w:val="20"/>
                                <w:szCs w:val="20"/>
                              </w:rPr>
                              <w:t>0.08</w:t>
                            </w:r>
                          </w:p>
                        </w:tc>
                      </w:tr>
                      <w:tr w:rsidR="007D625A" w14:paraId="6D00E680" w14:textId="77777777">
                        <w:trPr>
                          <w:trHeight w:val="254"/>
                        </w:trPr>
                        <w:tc>
                          <w:tcPr>
                            <w:tcW w:w="1200" w:type="dxa"/>
                            <w:vMerge/>
                            <w:tcBorders>
                              <w:top w:val="single" w:sz="8" w:space="0" w:color="FFFFFF"/>
                              <w:left w:val="single" w:sz="8" w:space="0" w:color="FFFFFF"/>
                              <w:bottom w:val="single" w:sz="8" w:space="0" w:color="000000"/>
                              <w:right w:val="single" w:sz="8" w:space="0" w:color="FFFFFF"/>
                            </w:tcBorders>
                            <w:shd w:val="clear" w:color="auto" w:fill="auto"/>
                          </w:tcPr>
                          <w:p w14:paraId="3E77D334" w14:textId="77777777" w:rsidR="007D625A" w:rsidRDefault="007D625A"/>
                        </w:tc>
                        <w:tc>
                          <w:tcPr>
                            <w:tcW w:w="17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5EE45BD" w14:textId="77777777" w:rsidR="007D625A" w:rsidRDefault="007D625A">
                            <w:pPr>
                              <w:pStyle w:val="Body"/>
                            </w:pPr>
                            <w:r>
                              <w:rPr>
                                <w:sz w:val="20"/>
                                <w:szCs w:val="20"/>
                              </w:rPr>
                              <w:t>AA</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0F620F3" w14:textId="77777777" w:rsidR="007D625A" w:rsidRDefault="007D625A">
                            <w:pPr>
                              <w:pStyle w:val="Body"/>
                            </w:pPr>
                            <w:r>
                              <w:rPr>
                                <w:sz w:val="20"/>
                                <w:szCs w:val="20"/>
                              </w:rPr>
                              <w:t>2 (2.77)</w:t>
                            </w:r>
                          </w:p>
                        </w:tc>
                        <w:tc>
                          <w:tcPr>
                            <w:tcW w:w="1432"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2D5AFA72" w14:textId="77777777" w:rsidR="007D625A" w:rsidRDefault="007D625A">
                            <w:pPr>
                              <w:pStyle w:val="Body"/>
                            </w:pPr>
                            <w:r>
                              <w:rPr>
                                <w:sz w:val="20"/>
                                <w:szCs w:val="20"/>
                              </w:rPr>
                              <w:t>-</w:t>
                            </w:r>
                          </w:p>
                        </w:tc>
                        <w:tc>
                          <w:tcPr>
                            <w:tcW w:w="18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646BE1C" w14:textId="77777777" w:rsidR="007D625A" w:rsidRDefault="007D625A">
                            <w:pPr>
                              <w:pStyle w:val="Body"/>
                              <w:jc w:val="center"/>
                            </w:pPr>
                            <w:r>
                              <w:rPr>
                                <w:sz w:val="20"/>
                                <w:szCs w:val="20"/>
                              </w:rPr>
                              <w:t>1.321 (1.135-1.611)</w:t>
                            </w:r>
                          </w:p>
                        </w:tc>
                        <w:tc>
                          <w:tcPr>
                            <w:tcW w:w="8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32F7F1B8" w14:textId="77777777" w:rsidR="007D625A" w:rsidRDefault="007D625A">
                            <w:pPr>
                              <w:pStyle w:val="Body"/>
                              <w:jc w:val="center"/>
                            </w:pPr>
                            <w:r>
                              <w:rPr>
                                <w:sz w:val="20"/>
                                <w:szCs w:val="20"/>
                              </w:rPr>
                              <w:t>0.06</w:t>
                            </w:r>
                          </w:p>
                        </w:tc>
                      </w:tr>
                      <w:tr w:rsidR="007D625A" w14:paraId="65F7AD26" w14:textId="77777777">
                        <w:trPr>
                          <w:trHeight w:val="254"/>
                        </w:trPr>
                        <w:tc>
                          <w:tcPr>
                            <w:tcW w:w="1200" w:type="dxa"/>
                            <w:vMerge/>
                            <w:tcBorders>
                              <w:top w:val="single" w:sz="8" w:space="0" w:color="FFFFFF"/>
                              <w:left w:val="single" w:sz="8" w:space="0" w:color="FFFFFF"/>
                              <w:bottom w:val="single" w:sz="8" w:space="0" w:color="000000"/>
                              <w:right w:val="single" w:sz="8" w:space="0" w:color="FFFFFF"/>
                            </w:tcBorders>
                            <w:shd w:val="clear" w:color="auto" w:fill="auto"/>
                          </w:tcPr>
                          <w:p w14:paraId="5697A15A" w14:textId="77777777" w:rsidR="007D625A" w:rsidRDefault="007D625A"/>
                        </w:tc>
                        <w:tc>
                          <w:tcPr>
                            <w:tcW w:w="172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1215E66B" w14:textId="77777777" w:rsidR="007D625A" w:rsidRDefault="007D625A">
                            <w:pPr>
                              <w:pStyle w:val="Body"/>
                            </w:pPr>
                            <w:r>
                              <w:rPr>
                                <w:sz w:val="20"/>
                                <w:szCs w:val="20"/>
                              </w:rPr>
                              <w:t>G allele frequency</w:t>
                            </w:r>
                          </w:p>
                        </w:tc>
                        <w:tc>
                          <w:tcPr>
                            <w:tcW w:w="120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6D355FD9" w14:textId="77777777" w:rsidR="007D625A" w:rsidRDefault="007D625A">
                            <w:pPr>
                              <w:pStyle w:val="Body"/>
                            </w:pPr>
                            <w:r>
                              <w:rPr>
                                <w:sz w:val="20"/>
                                <w:szCs w:val="20"/>
                              </w:rPr>
                              <w:t>123 (70.83)</w:t>
                            </w:r>
                          </w:p>
                        </w:tc>
                        <w:tc>
                          <w:tcPr>
                            <w:tcW w:w="143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33AB04E3" w14:textId="77777777" w:rsidR="007D625A" w:rsidRDefault="007D625A">
                            <w:pPr>
                              <w:pStyle w:val="Body"/>
                            </w:pPr>
                            <w:r>
                              <w:rPr>
                                <w:sz w:val="20"/>
                                <w:szCs w:val="20"/>
                              </w:rPr>
                              <w:t>150 (83.33)</w:t>
                            </w:r>
                          </w:p>
                        </w:tc>
                        <w:tc>
                          <w:tcPr>
                            <w:tcW w:w="184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42E75873" w14:textId="77777777" w:rsidR="007D625A" w:rsidRDefault="007D625A">
                            <w:pPr>
                              <w:pStyle w:val="Body"/>
                              <w:jc w:val="center"/>
                            </w:pPr>
                            <w:r>
                              <w:rPr>
                                <w:sz w:val="20"/>
                                <w:szCs w:val="20"/>
                              </w:rPr>
                              <w:t>0.789 (0.579-0.956)</w:t>
                            </w:r>
                          </w:p>
                        </w:tc>
                        <w:tc>
                          <w:tcPr>
                            <w:tcW w:w="82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40390167" w14:textId="77777777" w:rsidR="007D625A" w:rsidRDefault="007D625A">
                            <w:pPr>
                              <w:pStyle w:val="Body"/>
                              <w:jc w:val="center"/>
                            </w:pPr>
                            <w:r>
                              <w:rPr>
                                <w:sz w:val="20"/>
                                <w:szCs w:val="20"/>
                              </w:rPr>
                              <w:t>0.005</w:t>
                            </w:r>
                          </w:p>
                        </w:tc>
                      </w:tr>
                      <w:tr w:rsidR="007D625A" w14:paraId="5037137C" w14:textId="77777777">
                        <w:trPr>
                          <w:trHeight w:val="254"/>
                        </w:trPr>
                        <w:tc>
                          <w:tcPr>
                            <w:tcW w:w="1200" w:type="dxa"/>
                            <w:vMerge/>
                            <w:tcBorders>
                              <w:top w:val="single" w:sz="8" w:space="0" w:color="FFFFFF"/>
                              <w:left w:val="single" w:sz="8" w:space="0" w:color="FFFFFF"/>
                              <w:bottom w:val="single" w:sz="8" w:space="0" w:color="000000"/>
                              <w:right w:val="single" w:sz="8" w:space="0" w:color="FFFFFF"/>
                            </w:tcBorders>
                            <w:shd w:val="clear" w:color="auto" w:fill="auto"/>
                          </w:tcPr>
                          <w:p w14:paraId="69BA77C0" w14:textId="77777777" w:rsidR="007D625A" w:rsidRDefault="007D625A"/>
                        </w:tc>
                        <w:tc>
                          <w:tcPr>
                            <w:tcW w:w="1720" w:type="dxa"/>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3190DEA3" w14:textId="77777777" w:rsidR="007D625A" w:rsidRDefault="007D625A">
                            <w:pPr>
                              <w:pStyle w:val="Body"/>
                            </w:pPr>
                            <w:r>
                              <w:rPr>
                                <w:sz w:val="20"/>
                                <w:szCs w:val="20"/>
                              </w:rPr>
                              <w:t>A allele frequency</w:t>
                            </w:r>
                          </w:p>
                        </w:tc>
                        <w:tc>
                          <w:tcPr>
                            <w:tcW w:w="1200" w:type="dxa"/>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1DB9DD8C" w14:textId="77777777" w:rsidR="007D625A" w:rsidRDefault="007D625A">
                            <w:pPr>
                              <w:pStyle w:val="Body"/>
                            </w:pPr>
                            <w:r>
                              <w:rPr>
                                <w:sz w:val="20"/>
                                <w:szCs w:val="20"/>
                              </w:rPr>
                              <w:t>21 (29.16)</w:t>
                            </w:r>
                          </w:p>
                        </w:tc>
                        <w:tc>
                          <w:tcPr>
                            <w:tcW w:w="1432" w:type="dxa"/>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7E74FE86" w14:textId="77777777" w:rsidR="007D625A" w:rsidRDefault="007D625A">
                            <w:pPr>
                              <w:pStyle w:val="Body"/>
                            </w:pPr>
                            <w:r>
                              <w:rPr>
                                <w:sz w:val="20"/>
                                <w:szCs w:val="20"/>
                              </w:rPr>
                              <w:t>30 (16.66)</w:t>
                            </w:r>
                          </w:p>
                        </w:tc>
                        <w:tc>
                          <w:tcPr>
                            <w:tcW w:w="1840" w:type="dxa"/>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6955637F" w14:textId="77777777" w:rsidR="007D625A" w:rsidRDefault="007D625A">
                            <w:pPr>
                              <w:pStyle w:val="Body"/>
                              <w:jc w:val="center"/>
                            </w:pPr>
                            <w:r>
                              <w:rPr>
                                <w:sz w:val="20"/>
                                <w:szCs w:val="20"/>
                              </w:rPr>
                              <w:t>1.201 (1.002-1.487)</w:t>
                            </w:r>
                          </w:p>
                        </w:tc>
                        <w:tc>
                          <w:tcPr>
                            <w:tcW w:w="820" w:type="dxa"/>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0BD6F30E" w14:textId="77777777" w:rsidR="007D625A" w:rsidRDefault="007D625A">
                            <w:pPr>
                              <w:pStyle w:val="Body"/>
                              <w:jc w:val="center"/>
                            </w:pPr>
                            <w:r>
                              <w:rPr>
                                <w:sz w:val="20"/>
                                <w:szCs w:val="20"/>
                              </w:rPr>
                              <w:t>0.07</w:t>
                            </w:r>
                          </w:p>
                        </w:tc>
                      </w:tr>
                    </w:tbl>
                    <w:p w14:paraId="6BF36D1C" w14:textId="77777777" w:rsidR="007D625A" w:rsidRDefault="007D625A"/>
                  </w:txbxContent>
                </v:textbox>
                <w10:wrap type="topAndBottom" anchorx="page" anchory="page"/>
              </v:rect>
            </w:pict>
          </mc:Fallback>
        </mc:AlternateContent>
      </w:r>
      <w:r w:rsidRPr="005F63D1">
        <w:rPr>
          <w:rFonts w:ascii="Charter" w:hAnsi="Charter"/>
          <w:sz w:val="20"/>
          <w:szCs w:val="20"/>
        </w:rPr>
        <w:t xml:space="preserve">e presented as mean ± SD or as a number(percentage). </w:t>
      </w:r>
    </w:p>
    <w:p w14:paraId="1BA8FEE1" w14:textId="77777777" w:rsidR="00517A28" w:rsidRPr="005F63D1" w:rsidRDefault="005161E7">
      <w:pPr>
        <w:pStyle w:val="Body"/>
        <w:rPr>
          <w:rFonts w:ascii="Charter" w:eastAsia="Times New Roman" w:hAnsi="Charter" w:cs="Times New Roman"/>
          <w:sz w:val="20"/>
          <w:szCs w:val="20"/>
        </w:rPr>
      </w:pPr>
      <w:r w:rsidRPr="005F63D1">
        <w:rPr>
          <w:rFonts w:ascii="Charter" w:hAnsi="Charter"/>
          <w:b/>
          <w:bCs/>
          <w:sz w:val="20"/>
          <w:szCs w:val="20"/>
          <w:lang w:val="it-IT"/>
        </w:rPr>
        <w:t>Abbreviations</w:t>
      </w:r>
      <w:r w:rsidRPr="005F63D1">
        <w:rPr>
          <w:rFonts w:ascii="Charter" w:hAnsi="Charter"/>
          <w:sz w:val="20"/>
          <w:szCs w:val="20"/>
        </w:rPr>
        <w:t>: OR, odds ratio; CI, confidence interval.</w:t>
      </w:r>
    </w:p>
    <w:p w14:paraId="3D46C6CB" w14:textId="77777777" w:rsidR="00517A28" w:rsidRPr="005F63D1" w:rsidRDefault="00517A28">
      <w:pPr>
        <w:pStyle w:val="Body"/>
        <w:rPr>
          <w:rFonts w:ascii="Charter" w:hAnsi="Charter"/>
          <w:sz w:val="20"/>
          <w:szCs w:val="20"/>
        </w:rPr>
      </w:pPr>
    </w:p>
    <w:p w14:paraId="5F453768" w14:textId="07426278" w:rsidR="00517A28" w:rsidRPr="005F63D1" w:rsidRDefault="005161E7">
      <w:pPr>
        <w:pStyle w:val="Body"/>
        <w:jc w:val="both"/>
        <w:rPr>
          <w:rFonts w:ascii="Charter" w:eastAsia="Charter" w:hAnsi="Charter" w:cs="Charter"/>
        </w:rPr>
      </w:pPr>
      <w:r w:rsidRPr="005F63D1">
        <w:rPr>
          <w:rFonts w:ascii="Charter" w:hAnsi="Charter"/>
        </w:rPr>
        <w:t>Hardy-Weinberg Equilibrium was respected for all the polymorphisms studied. The genotype and allele frequency of 276G&gt;T Adipone</w:t>
      </w:r>
      <w:r w:rsidR="00CA03DC" w:rsidRPr="005F63D1">
        <w:rPr>
          <w:rFonts w:ascii="Charter" w:hAnsi="Charter"/>
        </w:rPr>
        <w:t>c</w:t>
      </w:r>
      <w:r w:rsidRPr="005F63D1">
        <w:rPr>
          <w:rFonts w:ascii="Charter" w:hAnsi="Charter"/>
        </w:rPr>
        <w:t>tin gene variant can be consulted in</w:t>
      </w:r>
      <w:r w:rsidRPr="005F63D1">
        <w:rPr>
          <w:rFonts w:ascii="Charter" w:hAnsi="Charter"/>
          <w:b/>
          <w:bCs/>
        </w:rPr>
        <w:t xml:space="preserve"> Table 2</w:t>
      </w:r>
      <w:r w:rsidRPr="005F63D1">
        <w:rPr>
          <w:rFonts w:ascii="Charter" w:hAnsi="Charter"/>
        </w:rPr>
        <w:t xml:space="preserve">. Serum adiponectin concentration was also higher in GT genotype patients compared to GG and TT  genotypes (GT 14.41±3.73 µg/ml,  </w:t>
      </w:r>
      <w:r w:rsidRPr="005F63D1">
        <w:rPr>
          <w:rFonts w:ascii="Charter" w:hAnsi="Charter"/>
          <w:i/>
          <w:iCs/>
        </w:rPr>
        <w:t>p</w:t>
      </w:r>
      <w:r w:rsidRPr="005F63D1">
        <w:rPr>
          <w:rFonts w:ascii="Charter" w:hAnsi="Charter"/>
        </w:rPr>
        <w:t xml:space="preserve">=0.024; GG 14.21±3.69 µg/ml,  </w:t>
      </w:r>
      <w:r w:rsidRPr="005F63D1">
        <w:rPr>
          <w:rFonts w:ascii="Charter" w:hAnsi="Charter"/>
          <w:i/>
          <w:iCs/>
        </w:rPr>
        <w:t>p</w:t>
      </w:r>
      <w:r w:rsidRPr="005F63D1">
        <w:rPr>
          <w:rFonts w:ascii="Charter" w:hAnsi="Charter"/>
        </w:rPr>
        <w:t xml:space="preserve">=0.025; TT 14.32±3.75 µg/ml,  </w:t>
      </w:r>
      <w:r w:rsidRPr="005F63D1">
        <w:rPr>
          <w:rFonts w:ascii="Charter" w:hAnsi="Charter"/>
          <w:i/>
          <w:iCs/>
        </w:rPr>
        <w:t>p</w:t>
      </w:r>
      <w:r w:rsidRPr="005F63D1">
        <w:rPr>
          <w:rFonts w:ascii="Charter" w:hAnsi="Charter"/>
        </w:rPr>
        <w:t>=0.021). In multivariate linear regression model, the association between HbA1c  and adiponectin level remained significant after adjustment for age, sex, BMI, presence of GG, GT and GT genotypes [</w:t>
      </w:r>
      <w:r w:rsidRPr="005F63D1">
        <w:rPr>
          <w:rFonts w:ascii="Charter" w:hAnsi="Charter"/>
          <w:i/>
          <w:iCs/>
        </w:rPr>
        <w:t>R^</w:t>
      </w:r>
      <w:r w:rsidRPr="005F63D1">
        <w:rPr>
          <w:rFonts w:ascii="Charter" w:hAnsi="Charter"/>
        </w:rPr>
        <w:t xml:space="preserve">2: 0.323, beta: 0.44 ( 95%CI:0.111–0.431),  </w:t>
      </w:r>
      <w:r w:rsidRPr="005F63D1">
        <w:rPr>
          <w:rFonts w:ascii="Charter" w:hAnsi="Charter"/>
          <w:i/>
          <w:iCs/>
        </w:rPr>
        <w:t>p</w:t>
      </w:r>
      <w:r w:rsidRPr="005F63D1">
        <w:rPr>
          <w:rFonts w:ascii="Charter" w:hAnsi="Charter"/>
        </w:rPr>
        <w:t xml:space="preserve">&lt;0.02]. </w:t>
      </w:r>
    </w:p>
    <w:p w14:paraId="7D6B6C91" w14:textId="77777777" w:rsidR="00517A28" w:rsidRPr="005F63D1" w:rsidRDefault="00517A28">
      <w:pPr>
        <w:pStyle w:val="Body"/>
        <w:jc w:val="both"/>
        <w:rPr>
          <w:rFonts w:ascii="Charter" w:eastAsia="Charter" w:hAnsi="Charter" w:cs="Charter"/>
        </w:rPr>
      </w:pPr>
    </w:p>
    <w:p w14:paraId="1D30E413" w14:textId="7E0E5791" w:rsidR="00517A28" w:rsidRPr="005F63D1" w:rsidRDefault="005161E7">
      <w:pPr>
        <w:pStyle w:val="Body"/>
        <w:jc w:val="both"/>
        <w:rPr>
          <w:rFonts w:ascii="Charter" w:eastAsia="Charter" w:hAnsi="Charter" w:cs="Charter"/>
        </w:rPr>
      </w:pPr>
      <w:r w:rsidRPr="005F63D1">
        <w:rPr>
          <w:rFonts w:ascii="Charter" w:hAnsi="Charter"/>
        </w:rPr>
        <w:t>The dominant model of Fisher’s exact test  for evaluating the risk for type 1 diabetes mellitus predisposition did not reveal any statistical difference for the gene variant carriers of adiponectin 276G&gt;T between the two groups studied</w:t>
      </w:r>
      <w:r w:rsidRPr="005F63D1">
        <w:rPr>
          <w:rFonts w:ascii="Charter" w:hAnsi="Charter"/>
          <w:b/>
          <w:bCs/>
        </w:rPr>
        <w:t xml:space="preserve"> </w:t>
      </w:r>
      <w:r w:rsidRPr="005F63D1">
        <w:rPr>
          <w:rFonts w:ascii="Charter" w:hAnsi="Charter"/>
        </w:rPr>
        <w:t>(P=0.012). Only the GG genotype does identify slightly increased risk for developing diabetes  under the recessive model, but with no significant statistical association(χ2 =2.091, OR=1.104 95% CI=0.696-1.402, P=0.06).</w:t>
      </w:r>
    </w:p>
    <w:p w14:paraId="77AA67DE" w14:textId="77777777" w:rsidR="00517A28" w:rsidRPr="005F63D1" w:rsidRDefault="00517A28">
      <w:pPr>
        <w:pStyle w:val="Body"/>
        <w:rPr>
          <w:rFonts w:ascii="Charter" w:eastAsia="Charter" w:hAnsi="Charter" w:cs="Charter"/>
        </w:rPr>
      </w:pPr>
    </w:p>
    <w:p w14:paraId="74A2333F" w14:textId="77777777" w:rsidR="00517A28" w:rsidRPr="005F63D1" w:rsidRDefault="00517A28">
      <w:pPr>
        <w:pStyle w:val="Body"/>
        <w:rPr>
          <w:rFonts w:ascii="Charter" w:eastAsia="Charter" w:hAnsi="Charter" w:cs="Charter"/>
          <w:b/>
          <w:bCs/>
          <w:i/>
          <w:iCs/>
          <w:sz w:val="24"/>
          <w:szCs w:val="24"/>
        </w:rPr>
      </w:pPr>
    </w:p>
    <w:p w14:paraId="0D94F984" w14:textId="77777777" w:rsidR="00517A28" w:rsidRPr="005F63D1" w:rsidRDefault="005161E7">
      <w:pPr>
        <w:pStyle w:val="Body"/>
        <w:rPr>
          <w:rFonts w:ascii="Charter" w:eastAsia="Charter" w:hAnsi="Charter" w:cs="Charter"/>
          <w:b/>
          <w:bCs/>
          <w:i/>
          <w:iCs/>
          <w:sz w:val="24"/>
          <w:szCs w:val="24"/>
        </w:rPr>
      </w:pPr>
      <w:r w:rsidRPr="005F63D1">
        <w:rPr>
          <w:rFonts w:ascii="Charter" w:hAnsi="Charter"/>
          <w:b/>
          <w:bCs/>
          <w:i/>
          <w:iCs/>
          <w:sz w:val="24"/>
          <w:szCs w:val="24"/>
        </w:rPr>
        <w:t>GSTM&amp;GSTT</w:t>
      </w:r>
    </w:p>
    <w:p w14:paraId="2734F9B9" w14:textId="77777777" w:rsidR="00517A28" w:rsidRPr="005F63D1" w:rsidRDefault="005161E7">
      <w:pPr>
        <w:pStyle w:val="Default"/>
        <w:jc w:val="both"/>
        <w:rPr>
          <w:rFonts w:ascii="Charter" w:eastAsia="Times New Roman" w:hAnsi="Charter" w:cs="Times New Roman"/>
          <w:color w:val="1F1F1F"/>
          <w:u w:color="3E0577"/>
        </w:rPr>
      </w:pPr>
      <w:r w:rsidRPr="005F63D1">
        <w:rPr>
          <w:rFonts w:ascii="Charter" w:hAnsi="Charter"/>
          <w:color w:val="1F1F1F"/>
          <w:u w:color="3E0577"/>
        </w:rPr>
        <w:t>The risk associated with  GSTT analyses revealed that the present</w:t>
      </w:r>
      <w:r w:rsidRPr="005F63D1">
        <w:rPr>
          <w:rFonts w:ascii="Charter" w:hAnsi="Charter"/>
          <w:color w:val="1F1F1F"/>
          <w:u w:color="3E0577"/>
          <w:lang w:val="nl-NL"/>
        </w:rPr>
        <w:t xml:space="preserve"> genotype </w:t>
      </w:r>
      <w:r w:rsidRPr="005F63D1">
        <w:rPr>
          <w:rFonts w:ascii="Charter" w:hAnsi="Charter"/>
          <w:color w:val="1F1F1F"/>
          <w:u w:color="3E0577"/>
        </w:rPr>
        <w:t>T+ (p &lt;0.001) is associated with a predisposition for T1DM, conferring a 3.2-fold elevated</w:t>
      </w:r>
      <w:r w:rsidRPr="005F63D1">
        <w:rPr>
          <w:rFonts w:ascii="Charter" w:hAnsi="Charter"/>
          <w:color w:val="1F1F1F"/>
          <w:u w:color="3E0577"/>
          <w:lang w:val="sv-SE"/>
        </w:rPr>
        <w:t xml:space="preserve"> risk</w:t>
      </w:r>
      <w:r w:rsidRPr="005F63D1">
        <w:rPr>
          <w:rFonts w:ascii="Charter" w:hAnsi="Charter"/>
          <w:color w:val="1F1F1F"/>
          <w:u w:color="3E0577"/>
        </w:rPr>
        <w:t xml:space="preserve"> (table 3). In addition, GSTT polymorphism through the present genotype revealed an association with increased levels of HbA1c (p=0.031), but no association was shown with blood pressure, both systolic (p=0.01) and diastolic (p=0.02) when compared to the present genotype in diabetic individuals.</w:t>
      </w:r>
    </w:p>
    <w:p w14:paraId="365CED99" w14:textId="77777777" w:rsidR="00517A28" w:rsidRPr="005F63D1" w:rsidRDefault="00517A28">
      <w:pPr>
        <w:pStyle w:val="Default"/>
        <w:rPr>
          <w:rFonts w:ascii="Charter" w:eastAsia="Times New Roman" w:hAnsi="Charter" w:cs="Times New Roman"/>
          <w:color w:val="1F1F1F"/>
          <w:u w:color="3E0577"/>
        </w:rPr>
      </w:pPr>
    </w:p>
    <w:p w14:paraId="2613D3AF" w14:textId="77777777" w:rsidR="00517A28" w:rsidRPr="005F63D1" w:rsidRDefault="00517A28">
      <w:pPr>
        <w:pStyle w:val="Default"/>
        <w:rPr>
          <w:rFonts w:ascii="Charter" w:eastAsia="Times New Roman" w:hAnsi="Charter" w:cs="Times New Roman"/>
          <w:color w:val="1F1F1F"/>
          <w:u w:color="3E0577"/>
        </w:rPr>
      </w:pPr>
    </w:p>
    <w:tbl>
      <w:tblPr>
        <w:tblStyle w:val="TableNormal1"/>
        <w:tblW w:w="95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56"/>
        <w:gridCol w:w="1749"/>
        <w:gridCol w:w="1272"/>
        <w:gridCol w:w="1415"/>
        <w:gridCol w:w="1399"/>
        <w:gridCol w:w="1832"/>
        <w:gridCol w:w="837"/>
      </w:tblGrid>
      <w:tr w:rsidR="00517A28" w:rsidRPr="005F63D1" w14:paraId="150DBEFF" w14:textId="77777777">
        <w:trPr>
          <w:trHeight w:val="249"/>
        </w:trPr>
        <w:tc>
          <w:tcPr>
            <w:tcW w:w="1057" w:type="dxa"/>
            <w:tcBorders>
              <w:top w:val="single" w:sz="4"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61ACB6E4" w14:textId="77777777" w:rsidR="00517A28" w:rsidRPr="005F63D1" w:rsidRDefault="005161E7">
            <w:pPr>
              <w:pStyle w:val="Body"/>
              <w:jc w:val="center"/>
              <w:rPr>
                <w:rFonts w:ascii="Charter" w:hAnsi="Charter"/>
              </w:rPr>
            </w:pPr>
            <w:r w:rsidRPr="005F63D1">
              <w:rPr>
                <w:rFonts w:ascii="Charter" w:hAnsi="Charter"/>
                <w:b/>
                <w:bCs/>
                <w:sz w:val="20"/>
                <w:szCs w:val="20"/>
              </w:rPr>
              <w:t>SNP ID</w:t>
            </w:r>
          </w:p>
        </w:tc>
        <w:tc>
          <w:tcPr>
            <w:tcW w:w="1748" w:type="dxa"/>
            <w:tcBorders>
              <w:top w:val="single" w:sz="4"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39F12C42" w14:textId="77777777" w:rsidR="00517A28" w:rsidRPr="005F63D1" w:rsidRDefault="005161E7">
            <w:pPr>
              <w:pStyle w:val="Body"/>
              <w:jc w:val="center"/>
              <w:rPr>
                <w:rFonts w:ascii="Charter" w:hAnsi="Charter"/>
              </w:rPr>
            </w:pPr>
            <w:r w:rsidRPr="005F63D1">
              <w:rPr>
                <w:rFonts w:ascii="Charter" w:hAnsi="Charter"/>
                <w:b/>
                <w:bCs/>
                <w:sz w:val="20"/>
                <w:szCs w:val="20"/>
              </w:rPr>
              <w:t>Variant</w:t>
            </w:r>
          </w:p>
        </w:tc>
        <w:tc>
          <w:tcPr>
            <w:tcW w:w="1271" w:type="dxa"/>
            <w:tcBorders>
              <w:top w:val="single" w:sz="4"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743BBB3D" w14:textId="77777777" w:rsidR="00517A28" w:rsidRPr="005F63D1" w:rsidRDefault="005161E7">
            <w:pPr>
              <w:pStyle w:val="Body"/>
              <w:jc w:val="center"/>
              <w:rPr>
                <w:rFonts w:ascii="Charter" w:hAnsi="Charter"/>
              </w:rPr>
            </w:pPr>
            <w:r w:rsidRPr="005F63D1">
              <w:rPr>
                <w:rFonts w:ascii="Charter" w:hAnsi="Charter"/>
                <w:b/>
                <w:bCs/>
                <w:sz w:val="20"/>
                <w:szCs w:val="20"/>
              </w:rPr>
              <w:t>Cases n(%)</w:t>
            </w:r>
          </w:p>
        </w:tc>
        <w:tc>
          <w:tcPr>
            <w:tcW w:w="1414" w:type="dxa"/>
            <w:tcBorders>
              <w:top w:val="single" w:sz="4"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328AF624" w14:textId="77777777" w:rsidR="00517A28" w:rsidRPr="005F63D1" w:rsidRDefault="005161E7">
            <w:pPr>
              <w:pStyle w:val="Body"/>
              <w:jc w:val="center"/>
              <w:rPr>
                <w:rFonts w:ascii="Charter" w:hAnsi="Charter"/>
              </w:rPr>
            </w:pPr>
            <w:r w:rsidRPr="005F63D1">
              <w:rPr>
                <w:rFonts w:ascii="Charter" w:hAnsi="Charter"/>
                <w:b/>
                <w:bCs/>
                <w:sz w:val="20"/>
                <w:szCs w:val="20"/>
              </w:rPr>
              <w:t>Controls n(%)</w:t>
            </w:r>
          </w:p>
        </w:tc>
        <w:tc>
          <w:tcPr>
            <w:tcW w:w="1398" w:type="dxa"/>
            <w:tcBorders>
              <w:top w:val="single" w:sz="4"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18119AF9" w14:textId="77777777" w:rsidR="00517A28" w:rsidRPr="005F63D1" w:rsidRDefault="005161E7">
            <w:pPr>
              <w:pStyle w:val="Body"/>
              <w:jc w:val="center"/>
              <w:rPr>
                <w:rFonts w:ascii="Charter" w:hAnsi="Charter"/>
              </w:rPr>
            </w:pPr>
            <w:r w:rsidRPr="005F63D1">
              <w:rPr>
                <w:rFonts w:ascii="Charter" w:hAnsi="Charter"/>
                <w:b/>
                <w:bCs/>
                <w:sz w:val="20"/>
                <w:szCs w:val="20"/>
              </w:rPr>
              <w:t>x2 (P-value)</w:t>
            </w:r>
          </w:p>
        </w:tc>
        <w:tc>
          <w:tcPr>
            <w:tcW w:w="1831" w:type="dxa"/>
            <w:tcBorders>
              <w:top w:val="single" w:sz="4"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7672F867" w14:textId="77777777" w:rsidR="00517A28" w:rsidRPr="005F63D1" w:rsidRDefault="005161E7">
            <w:pPr>
              <w:pStyle w:val="Body"/>
              <w:jc w:val="center"/>
              <w:rPr>
                <w:rFonts w:ascii="Charter" w:hAnsi="Charter"/>
              </w:rPr>
            </w:pPr>
            <w:r w:rsidRPr="005F63D1">
              <w:rPr>
                <w:rFonts w:ascii="Charter" w:hAnsi="Charter"/>
                <w:b/>
                <w:bCs/>
                <w:sz w:val="20"/>
                <w:szCs w:val="20"/>
              </w:rPr>
              <w:t>OR (95% CI)</w:t>
            </w:r>
          </w:p>
        </w:tc>
        <w:tc>
          <w:tcPr>
            <w:tcW w:w="837" w:type="dxa"/>
            <w:tcBorders>
              <w:top w:val="single" w:sz="4"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33B07F3B" w14:textId="77777777" w:rsidR="00517A28" w:rsidRPr="005F63D1" w:rsidRDefault="005161E7">
            <w:pPr>
              <w:pStyle w:val="Body"/>
              <w:jc w:val="center"/>
              <w:rPr>
                <w:rFonts w:ascii="Charter" w:hAnsi="Charter"/>
              </w:rPr>
            </w:pPr>
            <w:r w:rsidRPr="005F63D1">
              <w:rPr>
                <w:rFonts w:ascii="Charter" w:hAnsi="Charter"/>
                <w:b/>
                <w:bCs/>
                <w:sz w:val="20"/>
                <w:szCs w:val="20"/>
              </w:rPr>
              <w:t>P-value</w:t>
            </w:r>
          </w:p>
        </w:tc>
      </w:tr>
      <w:tr w:rsidR="00517A28" w:rsidRPr="005F63D1" w14:paraId="161F65DE" w14:textId="77777777">
        <w:trPr>
          <w:trHeight w:val="254"/>
        </w:trPr>
        <w:tc>
          <w:tcPr>
            <w:tcW w:w="1057" w:type="dxa"/>
            <w:vMerge w:val="restart"/>
            <w:tcBorders>
              <w:top w:val="single" w:sz="8" w:space="0" w:color="000000"/>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4B64F7D4" w14:textId="77777777" w:rsidR="00517A28" w:rsidRPr="005F63D1" w:rsidRDefault="005161E7">
            <w:pPr>
              <w:pStyle w:val="Body"/>
              <w:rPr>
                <w:rFonts w:ascii="Charter" w:hAnsi="Charter"/>
              </w:rPr>
            </w:pPr>
            <w:r w:rsidRPr="005F63D1">
              <w:rPr>
                <w:rFonts w:ascii="Charter" w:hAnsi="Charter"/>
                <w:sz w:val="20"/>
                <w:szCs w:val="20"/>
              </w:rPr>
              <w:t>GSTM*</w:t>
            </w:r>
          </w:p>
        </w:tc>
        <w:tc>
          <w:tcPr>
            <w:tcW w:w="1748" w:type="dxa"/>
            <w:tcBorders>
              <w:top w:val="single" w:sz="8" w:space="0" w:color="000000"/>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7B846CE2" w14:textId="77777777" w:rsidR="00517A28" w:rsidRPr="005F63D1" w:rsidRDefault="005161E7">
            <w:pPr>
              <w:pStyle w:val="Body"/>
              <w:rPr>
                <w:rFonts w:ascii="Charter" w:hAnsi="Charter"/>
              </w:rPr>
            </w:pPr>
            <w:r w:rsidRPr="005F63D1">
              <w:rPr>
                <w:rFonts w:ascii="Charter" w:hAnsi="Charter"/>
                <w:sz w:val="20"/>
                <w:szCs w:val="20"/>
              </w:rPr>
              <w:t>M -</w:t>
            </w:r>
          </w:p>
        </w:tc>
        <w:tc>
          <w:tcPr>
            <w:tcW w:w="1271" w:type="dxa"/>
            <w:tcBorders>
              <w:top w:val="single" w:sz="8" w:space="0" w:color="000000"/>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22521762" w14:textId="77777777" w:rsidR="00517A28" w:rsidRPr="005F63D1" w:rsidRDefault="005161E7">
            <w:pPr>
              <w:pStyle w:val="Body"/>
              <w:rPr>
                <w:rFonts w:ascii="Charter" w:hAnsi="Charter"/>
              </w:rPr>
            </w:pPr>
            <w:r w:rsidRPr="005F63D1">
              <w:rPr>
                <w:rFonts w:ascii="Charter" w:hAnsi="Charter"/>
                <w:sz w:val="20"/>
                <w:szCs w:val="20"/>
              </w:rPr>
              <w:t>32 (44.44)</w:t>
            </w:r>
          </w:p>
        </w:tc>
        <w:tc>
          <w:tcPr>
            <w:tcW w:w="1414" w:type="dxa"/>
            <w:tcBorders>
              <w:top w:val="single" w:sz="8" w:space="0" w:color="000000"/>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4257D90D" w14:textId="77777777" w:rsidR="00517A28" w:rsidRPr="005F63D1" w:rsidRDefault="005161E7">
            <w:pPr>
              <w:pStyle w:val="Body"/>
              <w:rPr>
                <w:rFonts w:ascii="Charter" w:hAnsi="Charter"/>
              </w:rPr>
            </w:pPr>
            <w:r w:rsidRPr="005F63D1">
              <w:rPr>
                <w:rFonts w:ascii="Charter" w:hAnsi="Charter"/>
                <w:sz w:val="20"/>
                <w:szCs w:val="20"/>
              </w:rPr>
              <w:t>45 (50)</w:t>
            </w:r>
          </w:p>
        </w:tc>
        <w:tc>
          <w:tcPr>
            <w:tcW w:w="1398" w:type="dxa"/>
            <w:tcBorders>
              <w:top w:val="single" w:sz="8" w:space="0" w:color="000000"/>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3F2EA861" w14:textId="77777777" w:rsidR="00517A28" w:rsidRPr="005F63D1" w:rsidRDefault="005161E7">
            <w:pPr>
              <w:pStyle w:val="Body"/>
              <w:rPr>
                <w:rFonts w:ascii="Charter" w:hAnsi="Charter"/>
              </w:rPr>
            </w:pPr>
            <w:r w:rsidRPr="005F63D1">
              <w:rPr>
                <w:rFonts w:ascii="Charter" w:hAnsi="Charter"/>
                <w:sz w:val="20"/>
                <w:szCs w:val="20"/>
              </w:rPr>
              <w:t>-</w:t>
            </w:r>
          </w:p>
        </w:tc>
        <w:tc>
          <w:tcPr>
            <w:tcW w:w="1831" w:type="dxa"/>
            <w:tcBorders>
              <w:top w:val="single" w:sz="8" w:space="0" w:color="000000"/>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7BFE7736" w14:textId="77777777" w:rsidR="00517A28" w:rsidRPr="005F63D1" w:rsidRDefault="005161E7">
            <w:pPr>
              <w:pStyle w:val="Body"/>
              <w:rPr>
                <w:rFonts w:ascii="Charter" w:hAnsi="Charter"/>
              </w:rPr>
            </w:pPr>
            <w:r w:rsidRPr="005F63D1">
              <w:rPr>
                <w:rFonts w:ascii="Charter" w:hAnsi="Charter"/>
                <w:sz w:val="20"/>
                <w:szCs w:val="20"/>
              </w:rPr>
              <w:t>1 (Reference)</w:t>
            </w:r>
          </w:p>
        </w:tc>
        <w:tc>
          <w:tcPr>
            <w:tcW w:w="837" w:type="dxa"/>
            <w:tcBorders>
              <w:top w:val="single" w:sz="8" w:space="0" w:color="000000"/>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6C305AFC" w14:textId="77777777" w:rsidR="00517A28" w:rsidRPr="005F63D1" w:rsidRDefault="005161E7">
            <w:pPr>
              <w:pStyle w:val="Body"/>
              <w:rPr>
                <w:rFonts w:ascii="Charter" w:hAnsi="Charter"/>
              </w:rPr>
            </w:pPr>
            <w:r w:rsidRPr="005F63D1">
              <w:rPr>
                <w:rFonts w:ascii="Charter" w:hAnsi="Charter"/>
                <w:sz w:val="20"/>
                <w:szCs w:val="20"/>
              </w:rPr>
              <w:t>-</w:t>
            </w:r>
          </w:p>
        </w:tc>
      </w:tr>
      <w:tr w:rsidR="00517A28" w:rsidRPr="005F63D1" w14:paraId="1F559C00" w14:textId="77777777">
        <w:trPr>
          <w:trHeight w:val="254"/>
        </w:trPr>
        <w:tc>
          <w:tcPr>
            <w:tcW w:w="1057" w:type="dxa"/>
            <w:vMerge/>
            <w:tcBorders>
              <w:top w:val="single" w:sz="8" w:space="0" w:color="000000"/>
              <w:left w:val="single" w:sz="8" w:space="0" w:color="FFFFFF"/>
              <w:bottom w:val="single" w:sz="8" w:space="0" w:color="FFFFFF"/>
              <w:right w:val="single" w:sz="8" w:space="0" w:color="FFFFFF"/>
            </w:tcBorders>
            <w:shd w:val="clear" w:color="auto" w:fill="E8ECF3"/>
          </w:tcPr>
          <w:p w14:paraId="4D93B3EA" w14:textId="77777777" w:rsidR="00517A28" w:rsidRPr="005F63D1" w:rsidRDefault="00517A28">
            <w:pPr>
              <w:rPr>
                <w:rFonts w:ascii="Charter" w:hAnsi="Charter"/>
              </w:rPr>
            </w:pPr>
          </w:p>
        </w:tc>
        <w:tc>
          <w:tcPr>
            <w:tcW w:w="1748"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3669EFAD" w14:textId="77777777" w:rsidR="00517A28" w:rsidRPr="005F63D1" w:rsidRDefault="005161E7">
            <w:pPr>
              <w:pStyle w:val="Body"/>
              <w:rPr>
                <w:rFonts w:ascii="Charter" w:hAnsi="Charter"/>
              </w:rPr>
            </w:pPr>
            <w:r w:rsidRPr="005F63D1">
              <w:rPr>
                <w:rFonts w:ascii="Charter" w:hAnsi="Charter"/>
                <w:sz w:val="20"/>
                <w:szCs w:val="20"/>
              </w:rPr>
              <w:t>M +</w:t>
            </w:r>
          </w:p>
        </w:tc>
        <w:tc>
          <w:tcPr>
            <w:tcW w:w="127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91C8742" w14:textId="77777777" w:rsidR="00517A28" w:rsidRPr="005F63D1" w:rsidRDefault="005161E7">
            <w:pPr>
              <w:pStyle w:val="Body"/>
              <w:rPr>
                <w:rFonts w:ascii="Charter" w:hAnsi="Charter"/>
              </w:rPr>
            </w:pPr>
            <w:r w:rsidRPr="005F63D1">
              <w:rPr>
                <w:rFonts w:ascii="Charter" w:hAnsi="Charter"/>
                <w:sz w:val="20"/>
                <w:szCs w:val="20"/>
              </w:rPr>
              <w:t>40 (55.55)</w:t>
            </w:r>
          </w:p>
        </w:tc>
        <w:tc>
          <w:tcPr>
            <w:tcW w:w="1414"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67DA66C" w14:textId="77777777" w:rsidR="00517A28" w:rsidRPr="005F63D1" w:rsidRDefault="005161E7">
            <w:pPr>
              <w:pStyle w:val="Body"/>
              <w:rPr>
                <w:rFonts w:ascii="Charter" w:hAnsi="Charter"/>
              </w:rPr>
            </w:pPr>
            <w:r w:rsidRPr="005F63D1">
              <w:rPr>
                <w:rFonts w:ascii="Charter" w:hAnsi="Charter"/>
                <w:sz w:val="20"/>
                <w:szCs w:val="20"/>
              </w:rPr>
              <w:t>45 (50)</w:t>
            </w:r>
          </w:p>
        </w:tc>
        <w:tc>
          <w:tcPr>
            <w:tcW w:w="1398"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4D6666F5" w14:textId="77777777" w:rsidR="00517A28" w:rsidRPr="005F63D1" w:rsidRDefault="005161E7">
            <w:pPr>
              <w:pStyle w:val="Body"/>
              <w:rPr>
                <w:rFonts w:ascii="Charter" w:hAnsi="Charter"/>
              </w:rPr>
            </w:pPr>
            <w:r w:rsidRPr="005F63D1">
              <w:rPr>
                <w:rFonts w:ascii="Charter" w:hAnsi="Charter"/>
                <w:sz w:val="20"/>
                <w:szCs w:val="20"/>
              </w:rPr>
              <w:t>0.091 (0.103)</w:t>
            </w:r>
          </w:p>
        </w:tc>
        <w:tc>
          <w:tcPr>
            <w:tcW w:w="18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6C88AA3B" w14:textId="77777777" w:rsidR="00517A28" w:rsidRPr="005F63D1" w:rsidRDefault="005161E7">
            <w:pPr>
              <w:pStyle w:val="Body"/>
              <w:rPr>
                <w:rFonts w:ascii="Charter" w:hAnsi="Charter"/>
              </w:rPr>
            </w:pPr>
            <w:r w:rsidRPr="005F63D1">
              <w:rPr>
                <w:rFonts w:ascii="Charter" w:hAnsi="Charter"/>
                <w:sz w:val="20"/>
                <w:szCs w:val="20"/>
              </w:rPr>
              <w:t>1.4 (0.831-1.855)</w:t>
            </w:r>
          </w:p>
        </w:tc>
        <w:tc>
          <w:tcPr>
            <w:tcW w:w="837"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1F7827B" w14:textId="77777777" w:rsidR="00517A28" w:rsidRPr="005F63D1" w:rsidRDefault="005161E7">
            <w:pPr>
              <w:pStyle w:val="Body"/>
              <w:rPr>
                <w:rFonts w:ascii="Charter" w:hAnsi="Charter"/>
              </w:rPr>
            </w:pPr>
            <w:r w:rsidRPr="005F63D1">
              <w:rPr>
                <w:rFonts w:ascii="Charter" w:hAnsi="Charter"/>
                <w:sz w:val="20"/>
                <w:szCs w:val="20"/>
              </w:rPr>
              <w:t>0.2</w:t>
            </w:r>
          </w:p>
        </w:tc>
      </w:tr>
      <w:tr w:rsidR="00517A28" w:rsidRPr="005F63D1" w14:paraId="42366E2A" w14:textId="77777777">
        <w:trPr>
          <w:trHeight w:val="254"/>
        </w:trPr>
        <w:tc>
          <w:tcPr>
            <w:tcW w:w="1057"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bottom"/>
          </w:tcPr>
          <w:p w14:paraId="324E7462" w14:textId="77777777" w:rsidR="00517A28" w:rsidRPr="005F63D1" w:rsidRDefault="00517A28">
            <w:pPr>
              <w:rPr>
                <w:rFonts w:ascii="Charter" w:hAnsi="Charter"/>
              </w:rPr>
            </w:pPr>
          </w:p>
        </w:tc>
        <w:tc>
          <w:tcPr>
            <w:tcW w:w="1748"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06D398EA" w14:textId="77777777" w:rsidR="00517A28" w:rsidRPr="005F63D1" w:rsidRDefault="00517A28">
            <w:pPr>
              <w:rPr>
                <w:rFonts w:ascii="Charter" w:hAnsi="Charter"/>
              </w:rPr>
            </w:pPr>
          </w:p>
        </w:tc>
        <w:tc>
          <w:tcPr>
            <w:tcW w:w="1271"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7E9DFD28" w14:textId="77777777" w:rsidR="00517A28" w:rsidRPr="005F63D1" w:rsidRDefault="00517A28">
            <w:pPr>
              <w:rPr>
                <w:rFonts w:ascii="Charter" w:hAnsi="Charter"/>
              </w:rPr>
            </w:pPr>
          </w:p>
        </w:tc>
        <w:tc>
          <w:tcPr>
            <w:tcW w:w="141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0E05D18F" w14:textId="77777777" w:rsidR="00517A28" w:rsidRPr="005F63D1" w:rsidRDefault="00517A28">
            <w:pPr>
              <w:rPr>
                <w:rFonts w:ascii="Charter" w:hAnsi="Charter"/>
              </w:rPr>
            </w:pPr>
          </w:p>
        </w:tc>
        <w:tc>
          <w:tcPr>
            <w:tcW w:w="1398"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10450F54" w14:textId="77777777" w:rsidR="00517A28" w:rsidRPr="005F63D1" w:rsidRDefault="00517A28">
            <w:pPr>
              <w:rPr>
                <w:rFonts w:ascii="Charter" w:hAnsi="Charter"/>
              </w:rPr>
            </w:pPr>
          </w:p>
        </w:tc>
        <w:tc>
          <w:tcPr>
            <w:tcW w:w="1831"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4469BBB8" w14:textId="77777777" w:rsidR="00517A28" w:rsidRPr="005F63D1" w:rsidRDefault="00517A28">
            <w:pPr>
              <w:rPr>
                <w:rFonts w:ascii="Charter" w:hAnsi="Charter"/>
              </w:rPr>
            </w:pPr>
          </w:p>
        </w:tc>
        <w:tc>
          <w:tcPr>
            <w:tcW w:w="837"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27535025" w14:textId="77777777" w:rsidR="00517A28" w:rsidRPr="005F63D1" w:rsidRDefault="00517A28">
            <w:pPr>
              <w:rPr>
                <w:rFonts w:ascii="Charter" w:hAnsi="Charter"/>
              </w:rPr>
            </w:pPr>
          </w:p>
        </w:tc>
      </w:tr>
      <w:tr w:rsidR="00517A28" w:rsidRPr="005F63D1" w14:paraId="78CDFFE9" w14:textId="77777777">
        <w:trPr>
          <w:trHeight w:val="254"/>
        </w:trPr>
        <w:tc>
          <w:tcPr>
            <w:tcW w:w="1057" w:type="dxa"/>
            <w:vMerge w:val="restart"/>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tcPr>
          <w:p w14:paraId="3D2D091D" w14:textId="77777777" w:rsidR="00517A28" w:rsidRPr="005F63D1" w:rsidRDefault="005161E7">
            <w:pPr>
              <w:pStyle w:val="Body"/>
              <w:rPr>
                <w:rFonts w:ascii="Charter" w:hAnsi="Charter"/>
              </w:rPr>
            </w:pPr>
            <w:r w:rsidRPr="005F63D1">
              <w:rPr>
                <w:rFonts w:ascii="Charter" w:hAnsi="Charter"/>
                <w:sz w:val="20"/>
                <w:szCs w:val="20"/>
              </w:rPr>
              <w:t>GSTT</w:t>
            </w:r>
          </w:p>
        </w:tc>
        <w:tc>
          <w:tcPr>
            <w:tcW w:w="1748"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03C37ECC" w14:textId="77777777" w:rsidR="00517A28" w:rsidRPr="005F63D1" w:rsidRDefault="005161E7">
            <w:pPr>
              <w:pStyle w:val="Body"/>
              <w:rPr>
                <w:rFonts w:ascii="Charter" w:hAnsi="Charter"/>
              </w:rPr>
            </w:pPr>
            <w:r w:rsidRPr="005F63D1">
              <w:rPr>
                <w:rFonts w:ascii="Charter" w:hAnsi="Charter"/>
                <w:sz w:val="20"/>
                <w:szCs w:val="20"/>
              </w:rPr>
              <w:t>T -</w:t>
            </w:r>
          </w:p>
        </w:tc>
        <w:tc>
          <w:tcPr>
            <w:tcW w:w="127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DE402BD" w14:textId="77777777" w:rsidR="00517A28" w:rsidRPr="005F63D1" w:rsidRDefault="005161E7">
            <w:pPr>
              <w:pStyle w:val="Body"/>
              <w:rPr>
                <w:rFonts w:ascii="Charter" w:hAnsi="Charter"/>
              </w:rPr>
            </w:pPr>
            <w:r w:rsidRPr="005F63D1">
              <w:rPr>
                <w:rFonts w:ascii="Charter" w:hAnsi="Charter"/>
                <w:sz w:val="20"/>
                <w:szCs w:val="20"/>
              </w:rPr>
              <w:t>24 (33.33)</w:t>
            </w:r>
          </w:p>
        </w:tc>
        <w:tc>
          <w:tcPr>
            <w:tcW w:w="1414"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2F4A1A6D" w14:textId="77777777" w:rsidR="00517A28" w:rsidRPr="005F63D1" w:rsidRDefault="005161E7">
            <w:pPr>
              <w:pStyle w:val="Body"/>
              <w:rPr>
                <w:rFonts w:ascii="Charter" w:hAnsi="Charter"/>
              </w:rPr>
            </w:pPr>
            <w:r w:rsidRPr="005F63D1">
              <w:rPr>
                <w:rFonts w:ascii="Charter" w:hAnsi="Charter"/>
                <w:sz w:val="20"/>
                <w:szCs w:val="20"/>
              </w:rPr>
              <w:t>37 (41.11)</w:t>
            </w:r>
          </w:p>
        </w:tc>
        <w:tc>
          <w:tcPr>
            <w:tcW w:w="1398"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48E4948C" w14:textId="77777777" w:rsidR="00517A28" w:rsidRPr="005F63D1" w:rsidRDefault="005161E7">
            <w:pPr>
              <w:pStyle w:val="Body"/>
              <w:rPr>
                <w:rFonts w:ascii="Charter" w:hAnsi="Charter"/>
              </w:rPr>
            </w:pPr>
            <w:r w:rsidRPr="005F63D1">
              <w:rPr>
                <w:rFonts w:ascii="Charter" w:hAnsi="Charter"/>
                <w:sz w:val="20"/>
                <w:szCs w:val="20"/>
              </w:rPr>
              <w:t>-</w:t>
            </w:r>
          </w:p>
        </w:tc>
        <w:tc>
          <w:tcPr>
            <w:tcW w:w="18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0423AD9B" w14:textId="77777777" w:rsidR="00517A28" w:rsidRPr="005F63D1" w:rsidRDefault="005161E7">
            <w:pPr>
              <w:pStyle w:val="Body"/>
              <w:rPr>
                <w:rFonts w:ascii="Charter" w:hAnsi="Charter"/>
              </w:rPr>
            </w:pPr>
            <w:r w:rsidRPr="005F63D1">
              <w:rPr>
                <w:rFonts w:ascii="Charter" w:hAnsi="Charter"/>
                <w:sz w:val="20"/>
                <w:szCs w:val="20"/>
              </w:rPr>
              <w:t>1 (Reference)</w:t>
            </w:r>
          </w:p>
        </w:tc>
        <w:tc>
          <w:tcPr>
            <w:tcW w:w="837"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67C7D89D" w14:textId="77777777" w:rsidR="00517A28" w:rsidRPr="005F63D1" w:rsidRDefault="005161E7">
            <w:pPr>
              <w:pStyle w:val="Body"/>
              <w:rPr>
                <w:rFonts w:ascii="Charter" w:hAnsi="Charter"/>
              </w:rPr>
            </w:pPr>
            <w:r w:rsidRPr="005F63D1">
              <w:rPr>
                <w:rFonts w:ascii="Charter" w:hAnsi="Charter"/>
                <w:sz w:val="20"/>
                <w:szCs w:val="20"/>
              </w:rPr>
              <w:t>-</w:t>
            </w:r>
          </w:p>
        </w:tc>
      </w:tr>
      <w:tr w:rsidR="00517A28" w:rsidRPr="005F63D1" w14:paraId="2FCDFD54" w14:textId="77777777">
        <w:trPr>
          <w:trHeight w:val="254"/>
        </w:trPr>
        <w:tc>
          <w:tcPr>
            <w:tcW w:w="1057" w:type="dxa"/>
            <w:vMerge/>
            <w:tcBorders>
              <w:top w:val="single" w:sz="8" w:space="0" w:color="FFFFFF"/>
              <w:left w:val="single" w:sz="8" w:space="0" w:color="FFFFFF"/>
              <w:bottom w:val="single" w:sz="8" w:space="0" w:color="000000"/>
              <w:right w:val="single" w:sz="8" w:space="0" w:color="FFFFFF"/>
            </w:tcBorders>
            <w:shd w:val="clear" w:color="auto" w:fill="auto"/>
          </w:tcPr>
          <w:p w14:paraId="11DF77AC" w14:textId="77777777" w:rsidR="00517A28" w:rsidRPr="005F63D1" w:rsidRDefault="00517A28">
            <w:pPr>
              <w:rPr>
                <w:rFonts w:ascii="Charter" w:hAnsi="Charter"/>
              </w:rPr>
            </w:pPr>
          </w:p>
        </w:tc>
        <w:tc>
          <w:tcPr>
            <w:tcW w:w="1748" w:type="dxa"/>
            <w:tcBorders>
              <w:top w:val="single" w:sz="8" w:space="0" w:color="FFFFFF"/>
              <w:left w:val="single" w:sz="8" w:space="0" w:color="FFFFFF"/>
              <w:bottom w:val="single" w:sz="8" w:space="0" w:color="000000"/>
              <w:right w:val="single" w:sz="8" w:space="0" w:color="FFFFFF"/>
            </w:tcBorders>
            <w:shd w:val="clear" w:color="auto" w:fill="E8ECF3"/>
            <w:tcMar>
              <w:top w:w="0" w:type="dxa"/>
              <w:left w:w="0" w:type="dxa"/>
              <w:bottom w:w="0" w:type="dxa"/>
              <w:right w:w="0" w:type="dxa"/>
            </w:tcMar>
            <w:vAlign w:val="center"/>
          </w:tcPr>
          <w:p w14:paraId="44FEB5DC" w14:textId="77777777" w:rsidR="00517A28" w:rsidRPr="005F63D1" w:rsidRDefault="005161E7">
            <w:pPr>
              <w:pStyle w:val="Body"/>
              <w:rPr>
                <w:rFonts w:ascii="Charter" w:hAnsi="Charter"/>
              </w:rPr>
            </w:pPr>
            <w:r w:rsidRPr="005F63D1">
              <w:rPr>
                <w:rFonts w:ascii="Charter" w:hAnsi="Charter"/>
                <w:sz w:val="20"/>
                <w:szCs w:val="20"/>
              </w:rPr>
              <w:t>T +</w:t>
            </w:r>
          </w:p>
        </w:tc>
        <w:tc>
          <w:tcPr>
            <w:tcW w:w="1271" w:type="dxa"/>
            <w:tcBorders>
              <w:top w:val="single" w:sz="8" w:space="0" w:color="FFFFFF"/>
              <w:left w:val="single" w:sz="8" w:space="0" w:color="FFFFFF"/>
              <w:bottom w:val="single" w:sz="8" w:space="0" w:color="000000"/>
              <w:right w:val="single" w:sz="8" w:space="0" w:color="FFFFFF"/>
            </w:tcBorders>
            <w:shd w:val="clear" w:color="auto" w:fill="E8ECF3"/>
            <w:tcMar>
              <w:top w:w="0" w:type="dxa"/>
              <w:left w:w="0" w:type="dxa"/>
              <w:bottom w:w="0" w:type="dxa"/>
              <w:right w:w="0" w:type="dxa"/>
            </w:tcMar>
            <w:vAlign w:val="center"/>
          </w:tcPr>
          <w:p w14:paraId="7A93917C" w14:textId="77777777" w:rsidR="00517A28" w:rsidRPr="005F63D1" w:rsidRDefault="005161E7">
            <w:pPr>
              <w:pStyle w:val="Body"/>
              <w:rPr>
                <w:rFonts w:ascii="Charter" w:hAnsi="Charter"/>
              </w:rPr>
            </w:pPr>
            <w:r w:rsidRPr="005F63D1">
              <w:rPr>
                <w:rFonts w:ascii="Charter" w:hAnsi="Charter"/>
                <w:sz w:val="20"/>
                <w:szCs w:val="20"/>
              </w:rPr>
              <w:t>48 (66.66)</w:t>
            </w:r>
          </w:p>
        </w:tc>
        <w:tc>
          <w:tcPr>
            <w:tcW w:w="1414" w:type="dxa"/>
            <w:tcBorders>
              <w:top w:val="single" w:sz="8" w:space="0" w:color="FFFFFF"/>
              <w:left w:val="single" w:sz="8" w:space="0" w:color="FFFFFF"/>
              <w:bottom w:val="single" w:sz="8" w:space="0" w:color="000000"/>
              <w:right w:val="single" w:sz="8" w:space="0" w:color="FFFFFF"/>
            </w:tcBorders>
            <w:shd w:val="clear" w:color="auto" w:fill="E8ECF3"/>
            <w:tcMar>
              <w:top w:w="0" w:type="dxa"/>
              <w:left w:w="0" w:type="dxa"/>
              <w:bottom w:w="0" w:type="dxa"/>
              <w:right w:w="0" w:type="dxa"/>
            </w:tcMar>
            <w:vAlign w:val="center"/>
          </w:tcPr>
          <w:p w14:paraId="0A4136B7" w14:textId="77777777" w:rsidR="00517A28" w:rsidRPr="005F63D1" w:rsidRDefault="005161E7">
            <w:pPr>
              <w:pStyle w:val="Body"/>
              <w:rPr>
                <w:rFonts w:ascii="Charter" w:hAnsi="Charter"/>
              </w:rPr>
            </w:pPr>
            <w:r w:rsidRPr="005F63D1">
              <w:rPr>
                <w:rFonts w:ascii="Charter" w:hAnsi="Charter"/>
                <w:sz w:val="20"/>
                <w:szCs w:val="20"/>
              </w:rPr>
              <w:t>53(58.88)</w:t>
            </w:r>
          </w:p>
        </w:tc>
        <w:tc>
          <w:tcPr>
            <w:tcW w:w="1398" w:type="dxa"/>
            <w:tcBorders>
              <w:top w:val="single" w:sz="8" w:space="0" w:color="FFFFFF"/>
              <w:left w:val="single" w:sz="8" w:space="0" w:color="FFFFFF"/>
              <w:bottom w:val="single" w:sz="8" w:space="0" w:color="000000"/>
              <w:right w:val="single" w:sz="8" w:space="0" w:color="FFFFFF"/>
            </w:tcBorders>
            <w:shd w:val="clear" w:color="auto" w:fill="E8ECF3"/>
            <w:tcMar>
              <w:top w:w="0" w:type="dxa"/>
              <w:left w:w="0" w:type="dxa"/>
              <w:bottom w:w="0" w:type="dxa"/>
              <w:right w:w="0" w:type="dxa"/>
            </w:tcMar>
            <w:vAlign w:val="center"/>
          </w:tcPr>
          <w:p w14:paraId="02DCB6EB" w14:textId="77777777" w:rsidR="00517A28" w:rsidRPr="005F63D1" w:rsidRDefault="005161E7">
            <w:pPr>
              <w:pStyle w:val="Body"/>
              <w:rPr>
                <w:rFonts w:ascii="Charter" w:hAnsi="Charter"/>
              </w:rPr>
            </w:pPr>
            <w:r w:rsidRPr="005F63D1">
              <w:rPr>
                <w:rFonts w:ascii="Charter" w:hAnsi="Charter"/>
                <w:sz w:val="20"/>
                <w:szCs w:val="20"/>
              </w:rPr>
              <w:t>11.21 (0.002)</w:t>
            </w:r>
          </w:p>
        </w:tc>
        <w:tc>
          <w:tcPr>
            <w:tcW w:w="1831" w:type="dxa"/>
            <w:tcBorders>
              <w:top w:val="single" w:sz="8" w:space="0" w:color="FFFFFF"/>
              <w:left w:val="single" w:sz="8" w:space="0" w:color="FFFFFF"/>
              <w:bottom w:val="single" w:sz="8" w:space="0" w:color="000000"/>
              <w:right w:val="single" w:sz="8" w:space="0" w:color="FFFFFF"/>
            </w:tcBorders>
            <w:shd w:val="clear" w:color="auto" w:fill="E8ECF3"/>
            <w:tcMar>
              <w:top w:w="0" w:type="dxa"/>
              <w:left w:w="0" w:type="dxa"/>
              <w:bottom w:w="0" w:type="dxa"/>
              <w:right w:w="0" w:type="dxa"/>
            </w:tcMar>
            <w:vAlign w:val="center"/>
          </w:tcPr>
          <w:p w14:paraId="6861FDD5" w14:textId="77777777" w:rsidR="00517A28" w:rsidRPr="005F63D1" w:rsidRDefault="005161E7">
            <w:pPr>
              <w:pStyle w:val="Body"/>
              <w:rPr>
                <w:rFonts w:ascii="Charter" w:hAnsi="Charter"/>
              </w:rPr>
            </w:pPr>
            <w:r w:rsidRPr="005F63D1">
              <w:rPr>
                <w:rFonts w:ascii="Charter" w:hAnsi="Charter"/>
                <w:sz w:val="20"/>
                <w:szCs w:val="20"/>
              </w:rPr>
              <w:t>3.4 (1.433-6.243)</w:t>
            </w:r>
          </w:p>
        </w:tc>
        <w:tc>
          <w:tcPr>
            <w:tcW w:w="837" w:type="dxa"/>
            <w:tcBorders>
              <w:top w:val="single" w:sz="8" w:space="0" w:color="FFFFFF"/>
              <w:left w:val="single" w:sz="8" w:space="0" w:color="FFFFFF"/>
              <w:bottom w:val="single" w:sz="8" w:space="0" w:color="000000"/>
              <w:right w:val="single" w:sz="8" w:space="0" w:color="FFFFFF"/>
            </w:tcBorders>
            <w:shd w:val="clear" w:color="auto" w:fill="E8ECF3"/>
            <w:tcMar>
              <w:top w:w="0" w:type="dxa"/>
              <w:left w:w="0" w:type="dxa"/>
              <w:bottom w:w="0" w:type="dxa"/>
              <w:right w:w="0" w:type="dxa"/>
            </w:tcMar>
            <w:vAlign w:val="center"/>
          </w:tcPr>
          <w:p w14:paraId="1253B185" w14:textId="77777777" w:rsidR="00517A28" w:rsidRPr="005F63D1" w:rsidRDefault="005161E7">
            <w:pPr>
              <w:pStyle w:val="Body"/>
              <w:rPr>
                <w:rFonts w:ascii="Charter" w:hAnsi="Charter"/>
              </w:rPr>
            </w:pPr>
            <w:r w:rsidRPr="005F63D1">
              <w:rPr>
                <w:rFonts w:ascii="Charter" w:hAnsi="Charter"/>
                <w:sz w:val="20"/>
                <w:szCs w:val="20"/>
              </w:rPr>
              <w:t>&lt;0.001</w:t>
            </w:r>
          </w:p>
        </w:tc>
      </w:tr>
    </w:tbl>
    <w:p w14:paraId="0C7C5A55" w14:textId="77777777" w:rsidR="00517A28" w:rsidRPr="005F63D1" w:rsidRDefault="00517A28">
      <w:pPr>
        <w:spacing w:after="160" w:line="259" w:lineRule="auto"/>
        <w:rPr>
          <w:rFonts w:ascii="Charter" w:eastAsia="Times New Roman" w:hAnsi="Charter"/>
          <w:color w:val="000000"/>
          <w:sz w:val="22"/>
          <w:szCs w:val="22"/>
          <w:u w:color="000000"/>
        </w:rPr>
      </w:pPr>
    </w:p>
    <w:p w14:paraId="19A2280D" w14:textId="77777777" w:rsidR="00517A28" w:rsidRPr="005F63D1" w:rsidRDefault="005161E7">
      <w:pPr>
        <w:pStyle w:val="Body"/>
        <w:rPr>
          <w:rFonts w:ascii="Charter" w:eastAsia="Times New Roman" w:hAnsi="Charter" w:cs="Times New Roman"/>
          <w:sz w:val="20"/>
          <w:szCs w:val="20"/>
        </w:rPr>
      </w:pPr>
      <w:r w:rsidRPr="005F63D1">
        <w:rPr>
          <w:rFonts w:ascii="Charter" w:hAnsi="Charter"/>
          <w:sz w:val="20"/>
          <w:szCs w:val="20"/>
        </w:rPr>
        <w:lastRenderedPageBreak/>
        <w:t>Table 3- Genotype distribution and frequency of alleles in diabetic and control subjects of GSTM, GTTM. Analysis by chi-square and multiple logistic regression to obtain adjusted - odds ratio values (OR) and confidence intervals (95% CI).</w:t>
      </w:r>
    </w:p>
    <w:p w14:paraId="7CE744E6" w14:textId="77777777" w:rsidR="00517A28" w:rsidRPr="005F63D1" w:rsidRDefault="00517A28">
      <w:pPr>
        <w:pStyle w:val="Body"/>
        <w:rPr>
          <w:rFonts w:ascii="Charter" w:eastAsia="Times New Roman" w:hAnsi="Charter" w:cs="Times New Roman"/>
        </w:rPr>
      </w:pPr>
    </w:p>
    <w:p w14:paraId="4F4B2503" w14:textId="77777777" w:rsidR="00517A28" w:rsidRPr="005F63D1" w:rsidRDefault="005161E7">
      <w:pPr>
        <w:pStyle w:val="Default"/>
        <w:jc w:val="both"/>
        <w:rPr>
          <w:rFonts w:ascii="Charter" w:eastAsia="Times New Roman" w:hAnsi="Charter" w:cs="Times New Roman"/>
          <w:color w:val="1F1F1F"/>
          <w:u w:color="3E0577"/>
        </w:rPr>
      </w:pPr>
      <w:r w:rsidRPr="005F63D1">
        <w:rPr>
          <w:rFonts w:ascii="Charter" w:hAnsi="Charter"/>
          <w:color w:val="1F1F1F"/>
          <w:u w:color="3E0577"/>
        </w:rPr>
        <w:t>The genotype (M-/T+) for both groups (31.94 and 27.27%) revealed an elevated predisposition for T1DM (p=0.002), conferring a 3.651-fold elevated risk (p=0.008) (table 4). The analyses of Log linear showed no interaction between the GSTM and GSTT combined for susceptibility to T1DM (x2=2.01, DF=1, p=0.1) or any isolated effect of GSTM (x2=1.5, DF=2, p = 0.5) and GSTT (x2 = 9.5, DF = 2, p = 0.2).</w:t>
      </w:r>
    </w:p>
    <w:p w14:paraId="10D7CEDE" w14:textId="77777777" w:rsidR="00517A28" w:rsidRPr="005F63D1" w:rsidRDefault="00517A28">
      <w:pPr>
        <w:pStyle w:val="Default"/>
        <w:rPr>
          <w:rFonts w:ascii="Charter" w:eastAsia="Times New Roman" w:hAnsi="Charter" w:cs="Times New Roman"/>
          <w:color w:val="1F1F1F"/>
          <w:u w:color="3E0577"/>
        </w:rPr>
      </w:pPr>
    </w:p>
    <w:tbl>
      <w:tblPr>
        <w:tblStyle w:val="TableNormal1"/>
        <w:tblW w:w="955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39"/>
        <w:gridCol w:w="1387"/>
        <w:gridCol w:w="1561"/>
        <w:gridCol w:w="849"/>
        <w:gridCol w:w="1343"/>
        <w:gridCol w:w="2321"/>
        <w:gridCol w:w="1059"/>
      </w:tblGrid>
      <w:tr w:rsidR="00517A28" w:rsidRPr="005F63D1" w14:paraId="69BAE569" w14:textId="77777777">
        <w:trPr>
          <w:trHeight w:val="489"/>
        </w:trPr>
        <w:tc>
          <w:tcPr>
            <w:tcW w:w="1038" w:type="dxa"/>
            <w:tcBorders>
              <w:top w:val="single" w:sz="4"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vAlign w:val="center"/>
          </w:tcPr>
          <w:p w14:paraId="4227C7E8" w14:textId="77777777" w:rsidR="00517A28" w:rsidRPr="005F63D1" w:rsidRDefault="005161E7">
            <w:pPr>
              <w:pStyle w:val="Body"/>
              <w:rPr>
                <w:rFonts w:ascii="Charter" w:hAnsi="Charter"/>
              </w:rPr>
            </w:pPr>
            <w:r w:rsidRPr="005F63D1">
              <w:rPr>
                <w:rFonts w:ascii="Charter" w:hAnsi="Charter"/>
                <w:b/>
                <w:bCs/>
                <w:sz w:val="20"/>
                <w:szCs w:val="20"/>
              </w:rPr>
              <w:t>GSTM / GTTM</w:t>
            </w:r>
          </w:p>
        </w:tc>
        <w:tc>
          <w:tcPr>
            <w:tcW w:w="1386" w:type="dxa"/>
            <w:tcBorders>
              <w:top w:val="single" w:sz="4"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vAlign w:val="center"/>
          </w:tcPr>
          <w:p w14:paraId="0B2CDE09" w14:textId="77777777" w:rsidR="00517A28" w:rsidRPr="005F63D1" w:rsidRDefault="005161E7">
            <w:pPr>
              <w:pStyle w:val="Body"/>
              <w:jc w:val="center"/>
              <w:rPr>
                <w:rFonts w:ascii="Charter" w:hAnsi="Charter"/>
              </w:rPr>
            </w:pPr>
            <w:r w:rsidRPr="005F63D1">
              <w:rPr>
                <w:rFonts w:ascii="Charter" w:hAnsi="Charter"/>
                <w:b/>
                <w:bCs/>
                <w:sz w:val="20"/>
                <w:szCs w:val="20"/>
              </w:rPr>
              <w:t>Cases n (%)</w:t>
            </w:r>
          </w:p>
        </w:tc>
        <w:tc>
          <w:tcPr>
            <w:tcW w:w="1561" w:type="dxa"/>
            <w:tcBorders>
              <w:top w:val="single" w:sz="4"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vAlign w:val="center"/>
          </w:tcPr>
          <w:p w14:paraId="534EAF13" w14:textId="77777777" w:rsidR="00517A28" w:rsidRPr="005F63D1" w:rsidRDefault="005161E7">
            <w:pPr>
              <w:pStyle w:val="Body"/>
              <w:rPr>
                <w:rFonts w:ascii="Charter" w:hAnsi="Charter"/>
              </w:rPr>
            </w:pPr>
            <w:r w:rsidRPr="005F63D1">
              <w:rPr>
                <w:rFonts w:ascii="Charter" w:hAnsi="Charter"/>
                <w:b/>
                <w:bCs/>
                <w:sz w:val="20"/>
                <w:szCs w:val="20"/>
              </w:rPr>
              <w:t>Controls n (%)</w:t>
            </w:r>
          </w:p>
        </w:tc>
        <w:tc>
          <w:tcPr>
            <w:tcW w:w="849" w:type="dxa"/>
            <w:tcBorders>
              <w:top w:val="single" w:sz="4"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vAlign w:val="center"/>
          </w:tcPr>
          <w:p w14:paraId="0C9F4166" w14:textId="77777777" w:rsidR="00517A28" w:rsidRPr="005F63D1" w:rsidRDefault="005161E7">
            <w:pPr>
              <w:pStyle w:val="Body"/>
              <w:jc w:val="center"/>
              <w:rPr>
                <w:rFonts w:ascii="Charter" w:hAnsi="Charter"/>
              </w:rPr>
            </w:pPr>
            <w:r w:rsidRPr="005F63D1">
              <w:rPr>
                <w:rFonts w:ascii="Charter" w:hAnsi="Charter"/>
                <w:b/>
                <w:bCs/>
                <w:sz w:val="20"/>
                <w:szCs w:val="20"/>
              </w:rPr>
              <w:t xml:space="preserve">x2 </w:t>
            </w:r>
          </w:p>
        </w:tc>
        <w:tc>
          <w:tcPr>
            <w:tcW w:w="1343" w:type="dxa"/>
            <w:tcBorders>
              <w:top w:val="single" w:sz="4"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vAlign w:val="center"/>
          </w:tcPr>
          <w:p w14:paraId="549CA332" w14:textId="77777777" w:rsidR="00517A28" w:rsidRPr="005F63D1" w:rsidRDefault="005161E7">
            <w:pPr>
              <w:pStyle w:val="Body"/>
              <w:jc w:val="center"/>
              <w:rPr>
                <w:rFonts w:ascii="Charter" w:hAnsi="Charter"/>
              </w:rPr>
            </w:pPr>
            <w:r w:rsidRPr="005F63D1">
              <w:rPr>
                <w:rFonts w:ascii="Charter" w:hAnsi="Charter"/>
                <w:b/>
                <w:bCs/>
                <w:sz w:val="20"/>
                <w:szCs w:val="20"/>
              </w:rPr>
              <w:t>P-value</w:t>
            </w:r>
          </w:p>
        </w:tc>
        <w:tc>
          <w:tcPr>
            <w:tcW w:w="2320" w:type="dxa"/>
            <w:tcBorders>
              <w:top w:val="single" w:sz="4"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vAlign w:val="center"/>
          </w:tcPr>
          <w:p w14:paraId="182D9766" w14:textId="77777777" w:rsidR="00517A28" w:rsidRPr="005F63D1" w:rsidRDefault="005161E7">
            <w:pPr>
              <w:pStyle w:val="Body"/>
              <w:jc w:val="center"/>
              <w:rPr>
                <w:rFonts w:ascii="Charter" w:hAnsi="Charter"/>
              </w:rPr>
            </w:pPr>
            <w:r w:rsidRPr="005F63D1">
              <w:rPr>
                <w:rFonts w:ascii="Charter" w:hAnsi="Charter"/>
                <w:b/>
                <w:bCs/>
                <w:sz w:val="20"/>
                <w:szCs w:val="20"/>
              </w:rPr>
              <w:t>OR (95% CI)</w:t>
            </w:r>
          </w:p>
        </w:tc>
        <w:tc>
          <w:tcPr>
            <w:tcW w:w="1059" w:type="dxa"/>
            <w:tcBorders>
              <w:top w:val="single" w:sz="4"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vAlign w:val="center"/>
          </w:tcPr>
          <w:p w14:paraId="2815DC8D" w14:textId="77777777" w:rsidR="00517A28" w:rsidRPr="005F63D1" w:rsidRDefault="005161E7">
            <w:pPr>
              <w:pStyle w:val="Body"/>
              <w:jc w:val="center"/>
              <w:rPr>
                <w:rFonts w:ascii="Charter" w:hAnsi="Charter"/>
              </w:rPr>
            </w:pPr>
            <w:r w:rsidRPr="005F63D1">
              <w:rPr>
                <w:rFonts w:ascii="Charter" w:hAnsi="Charter"/>
                <w:b/>
                <w:bCs/>
                <w:sz w:val="20"/>
                <w:szCs w:val="20"/>
              </w:rPr>
              <w:t>P-value</w:t>
            </w:r>
          </w:p>
        </w:tc>
      </w:tr>
      <w:tr w:rsidR="00517A28" w:rsidRPr="005F63D1" w14:paraId="4C1FD5EF" w14:textId="77777777">
        <w:trPr>
          <w:trHeight w:val="254"/>
        </w:trPr>
        <w:tc>
          <w:tcPr>
            <w:tcW w:w="1038" w:type="dxa"/>
            <w:tcBorders>
              <w:top w:val="single" w:sz="8" w:space="0" w:color="000000"/>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41FFE554" w14:textId="77777777" w:rsidR="00517A28" w:rsidRPr="005F63D1" w:rsidRDefault="005161E7">
            <w:pPr>
              <w:pStyle w:val="Body"/>
              <w:rPr>
                <w:rFonts w:ascii="Charter" w:hAnsi="Charter"/>
              </w:rPr>
            </w:pPr>
            <w:r w:rsidRPr="005F63D1">
              <w:rPr>
                <w:rFonts w:ascii="Charter" w:hAnsi="Charter"/>
                <w:sz w:val="20"/>
                <w:szCs w:val="20"/>
              </w:rPr>
              <w:t>M + / T +</w:t>
            </w:r>
          </w:p>
        </w:tc>
        <w:tc>
          <w:tcPr>
            <w:tcW w:w="1386" w:type="dxa"/>
            <w:tcBorders>
              <w:top w:val="single" w:sz="8" w:space="0" w:color="000000"/>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110DAED8" w14:textId="77777777" w:rsidR="00517A28" w:rsidRPr="005F63D1" w:rsidRDefault="005161E7">
            <w:pPr>
              <w:pStyle w:val="Body"/>
              <w:rPr>
                <w:rFonts w:ascii="Charter" w:hAnsi="Charter"/>
              </w:rPr>
            </w:pPr>
            <w:r w:rsidRPr="005F63D1">
              <w:rPr>
                <w:rFonts w:ascii="Charter" w:hAnsi="Charter"/>
                <w:sz w:val="20"/>
                <w:szCs w:val="20"/>
              </w:rPr>
              <w:t>25 (34.72)</w:t>
            </w:r>
          </w:p>
        </w:tc>
        <w:tc>
          <w:tcPr>
            <w:tcW w:w="1561" w:type="dxa"/>
            <w:tcBorders>
              <w:top w:val="single" w:sz="8" w:space="0" w:color="000000"/>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54F95A73" w14:textId="77777777" w:rsidR="00517A28" w:rsidRPr="005F63D1" w:rsidRDefault="005161E7">
            <w:pPr>
              <w:pStyle w:val="Body"/>
              <w:rPr>
                <w:rFonts w:ascii="Charter" w:hAnsi="Charter"/>
              </w:rPr>
            </w:pPr>
            <w:r w:rsidRPr="005F63D1">
              <w:rPr>
                <w:rFonts w:ascii="Charter" w:hAnsi="Charter"/>
                <w:sz w:val="20"/>
                <w:szCs w:val="20"/>
              </w:rPr>
              <w:t>28 (31.11)</w:t>
            </w:r>
          </w:p>
        </w:tc>
        <w:tc>
          <w:tcPr>
            <w:tcW w:w="849" w:type="dxa"/>
            <w:tcBorders>
              <w:top w:val="single" w:sz="8" w:space="0" w:color="000000"/>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7D0FE0A4" w14:textId="77777777" w:rsidR="00517A28" w:rsidRPr="005F63D1" w:rsidRDefault="005161E7">
            <w:pPr>
              <w:pStyle w:val="Body"/>
              <w:rPr>
                <w:rFonts w:ascii="Charter" w:hAnsi="Charter"/>
              </w:rPr>
            </w:pPr>
            <w:r w:rsidRPr="005F63D1">
              <w:rPr>
                <w:rFonts w:ascii="Charter" w:hAnsi="Charter"/>
                <w:sz w:val="20"/>
                <w:szCs w:val="20"/>
              </w:rPr>
              <w:t>2.71</w:t>
            </w:r>
          </w:p>
        </w:tc>
        <w:tc>
          <w:tcPr>
            <w:tcW w:w="1343" w:type="dxa"/>
            <w:tcBorders>
              <w:top w:val="single" w:sz="8" w:space="0" w:color="000000"/>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6529DEE0" w14:textId="77777777" w:rsidR="00517A28" w:rsidRPr="005F63D1" w:rsidRDefault="005161E7">
            <w:pPr>
              <w:pStyle w:val="Body"/>
              <w:jc w:val="center"/>
              <w:rPr>
                <w:rFonts w:ascii="Charter" w:hAnsi="Charter"/>
              </w:rPr>
            </w:pPr>
            <w:r w:rsidRPr="005F63D1">
              <w:rPr>
                <w:rFonts w:ascii="Charter" w:hAnsi="Charter"/>
                <w:sz w:val="20"/>
                <w:szCs w:val="20"/>
              </w:rPr>
              <w:t>0.045</w:t>
            </w:r>
          </w:p>
        </w:tc>
        <w:tc>
          <w:tcPr>
            <w:tcW w:w="2320" w:type="dxa"/>
            <w:tcBorders>
              <w:top w:val="single" w:sz="8" w:space="0" w:color="000000"/>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1258156A" w14:textId="77777777" w:rsidR="00517A28" w:rsidRPr="005F63D1" w:rsidRDefault="005161E7">
            <w:pPr>
              <w:pStyle w:val="Body"/>
              <w:rPr>
                <w:rFonts w:ascii="Charter" w:hAnsi="Charter"/>
              </w:rPr>
            </w:pPr>
            <w:r w:rsidRPr="005F63D1">
              <w:rPr>
                <w:rFonts w:ascii="Charter" w:hAnsi="Charter"/>
                <w:sz w:val="20"/>
                <w:szCs w:val="20"/>
              </w:rPr>
              <w:t>1 (Reference)</w:t>
            </w:r>
          </w:p>
        </w:tc>
        <w:tc>
          <w:tcPr>
            <w:tcW w:w="1059" w:type="dxa"/>
            <w:tcBorders>
              <w:top w:val="single" w:sz="8" w:space="0" w:color="000000"/>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583A3569" w14:textId="77777777" w:rsidR="00517A28" w:rsidRPr="005F63D1" w:rsidRDefault="005161E7">
            <w:pPr>
              <w:pStyle w:val="Body"/>
              <w:jc w:val="center"/>
              <w:rPr>
                <w:rFonts w:ascii="Charter" w:hAnsi="Charter"/>
              </w:rPr>
            </w:pPr>
            <w:r w:rsidRPr="005F63D1">
              <w:rPr>
                <w:rFonts w:ascii="Charter" w:hAnsi="Charter"/>
                <w:sz w:val="20"/>
                <w:szCs w:val="20"/>
              </w:rPr>
              <w:t>-</w:t>
            </w:r>
          </w:p>
        </w:tc>
      </w:tr>
      <w:tr w:rsidR="00517A28" w:rsidRPr="005F63D1" w14:paraId="60634AA5" w14:textId="77777777">
        <w:trPr>
          <w:trHeight w:val="254"/>
        </w:trPr>
        <w:tc>
          <w:tcPr>
            <w:tcW w:w="1038"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vAlign w:val="center"/>
          </w:tcPr>
          <w:p w14:paraId="7C5F1507" w14:textId="77777777" w:rsidR="00517A28" w:rsidRPr="005F63D1" w:rsidRDefault="005161E7">
            <w:pPr>
              <w:pStyle w:val="Body"/>
              <w:rPr>
                <w:rFonts w:ascii="Charter" w:hAnsi="Charter"/>
              </w:rPr>
            </w:pPr>
            <w:r w:rsidRPr="005F63D1">
              <w:rPr>
                <w:rFonts w:ascii="Charter" w:hAnsi="Charter"/>
                <w:sz w:val="20"/>
                <w:szCs w:val="20"/>
              </w:rPr>
              <w:t>M - / T +</w:t>
            </w:r>
          </w:p>
        </w:tc>
        <w:tc>
          <w:tcPr>
            <w:tcW w:w="1386"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vAlign w:val="center"/>
          </w:tcPr>
          <w:p w14:paraId="66B69A43" w14:textId="77777777" w:rsidR="00517A28" w:rsidRPr="005F63D1" w:rsidRDefault="005161E7">
            <w:pPr>
              <w:pStyle w:val="Body"/>
              <w:rPr>
                <w:rFonts w:ascii="Charter" w:hAnsi="Charter"/>
              </w:rPr>
            </w:pPr>
            <w:r w:rsidRPr="005F63D1">
              <w:rPr>
                <w:rFonts w:ascii="Charter" w:hAnsi="Charter"/>
                <w:sz w:val="20"/>
                <w:szCs w:val="20"/>
              </w:rPr>
              <w:t>23 (31.94)</w:t>
            </w:r>
          </w:p>
        </w:tc>
        <w:tc>
          <w:tcPr>
            <w:tcW w:w="1561"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vAlign w:val="center"/>
          </w:tcPr>
          <w:p w14:paraId="0648EBC3" w14:textId="77777777" w:rsidR="00517A28" w:rsidRPr="005F63D1" w:rsidRDefault="005161E7">
            <w:pPr>
              <w:pStyle w:val="Body"/>
              <w:rPr>
                <w:rFonts w:ascii="Charter" w:hAnsi="Charter"/>
              </w:rPr>
            </w:pPr>
            <w:r w:rsidRPr="005F63D1">
              <w:rPr>
                <w:rFonts w:ascii="Charter" w:hAnsi="Charter"/>
                <w:sz w:val="20"/>
                <w:szCs w:val="20"/>
              </w:rPr>
              <w:t>25 (27.77)</w:t>
            </w:r>
          </w:p>
        </w:tc>
        <w:tc>
          <w:tcPr>
            <w:tcW w:w="849"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vAlign w:val="center"/>
          </w:tcPr>
          <w:p w14:paraId="36894F23" w14:textId="77777777" w:rsidR="00517A28" w:rsidRPr="005F63D1" w:rsidRDefault="005161E7">
            <w:pPr>
              <w:pStyle w:val="Body"/>
              <w:rPr>
                <w:rFonts w:ascii="Charter" w:hAnsi="Charter"/>
              </w:rPr>
            </w:pPr>
            <w:r w:rsidRPr="005F63D1">
              <w:rPr>
                <w:rFonts w:ascii="Charter" w:hAnsi="Charter"/>
                <w:sz w:val="20"/>
                <w:szCs w:val="20"/>
              </w:rPr>
              <w:t>7.33</w:t>
            </w:r>
          </w:p>
        </w:tc>
        <w:tc>
          <w:tcPr>
            <w:tcW w:w="134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vAlign w:val="center"/>
          </w:tcPr>
          <w:p w14:paraId="4CADCD80" w14:textId="77777777" w:rsidR="00517A28" w:rsidRPr="005F63D1" w:rsidRDefault="005161E7">
            <w:pPr>
              <w:pStyle w:val="Body"/>
              <w:jc w:val="center"/>
              <w:rPr>
                <w:rFonts w:ascii="Charter" w:hAnsi="Charter"/>
              </w:rPr>
            </w:pPr>
            <w:r w:rsidRPr="005F63D1">
              <w:rPr>
                <w:rFonts w:ascii="Charter" w:hAnsi="Charter"/>
                <w:sz w:val="20"/>
                <w:szCs w:val="20"/>
              </w:rPr>
              <w:t>0.008</w:t>
            </w:r>
          </w:p>
        </w:tc>
        <w:tc>
          <w:tcPr>
            <w:tcW w:w="232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vAlign w:val="center"/>
          </w:tcPr>
          <w:p w14:paraId="42B194E5" w14:textId="77777777" w:rsidR="00517A28" w:rsidRPr="005F63D1" w:rsidRDefault="005161E7">
            <w:pPr>
              <w:pStyle w:val="Body"/>
              <w:rPr>
                <w:rFonts w:ascii="Charter" w:hAnsi="Charter"/>
              </w:rPr>
            </w:pPr>
            <w:r w:rsidRPr="005F63D1">
              <w:rPr>
                <w:rFonts w:ascii="Charter" w:hAnsi="Charter"/>
                <w:sz w:val="20"/>
                <w:szCs w:val="20"/>
              </w:rPr>
              <w:t>3.651 (1.891-7.043)</w:t>
            </w:r>
          </w:p>
        </w:tc>
        <w:tc>
          <w:tcPr>
            <w:tcW w:w="1059"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vAlign w:val="center"/>
          </w:tcPr>
          <w:p w14:paraId="31A9F686" w14:textId="77777777" w:rsidR="00517A28" w:rsidRPr="005F63D1" w:rsidRDefault="005161E7">
            <w:pPr>
              <w:pStyle w:val="Body"/>
              <w:jc w:val="center"/>
              <w:rPr>
                <w:rFonts w:ascii="Charter" w:hAnsi="Charter"/>
              </w:rPr>
            </w:pPr>
            <w:r w:rsidRPr="005F63D1">
              <w:rPr>
                <w:rFonts w:ascii="Charter" w:hAnsi="Charter"/>
                <w:sz w:val="20"/>
                <w:szCs w:val="20"/>
              </w:rPr>
              <w:t>0.002</w:t>
            </w:r>
          </w:p>
        </w:tc>
      </w:tr>
      <w:tr w:rsidR="00517A28" w:rsidRPr="005F63D1" w14:paraId="2938AB33" w14:textId="77777777">
        <w:trPr>
          <w:trHeight w:val="254"/>
        </w:trPr>
        <w:tc>
          <w:tcPr>
            <w:tcW w:w="1038"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5C337F38" w14:textId="77777777" w:rsidR="00517A28" w:rsidRPr="005F63D1" w:rsidRDefault="005161E7">
            <w:pPr>
              <w:pStyle w:val="Body"/>
              <w:rPr>
                <w:rFonts w:ascii="Charter" w:hAnsi="Charter"/>
              </w:rPr>
            </w:pPr>
            <w:r w:rsidRPr="005F63D1">
              <w:rPr>
                <w:rFonts w:ascii="Charter" w:hAnsi="Charter"/>
                <w:sz w:val="20"/>
                <w:szCs w:val="20"/>
              </w:rPr>
              <w:t>M + / T -</w:t>
            </w:r>
          </w:p>
        </w:tc>
        <w:tc>
          <w:tcPr>
            <w:tcW w:w="1386"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3EA47B09" w14:textId="77777777" w:rsidR="00517A28" w:rsidRPr="005F63D1" w:rsidRDefault="005161E7">
            <w:pPr>
              <w:pStyle w:val="Body"/>
              <w:rPr>
                <w:rFonts w:ascii="Charter" w:hAnsi="Charter"/>
              </w:rPr>
            </w:pPr>
            <w:r w:rsidRPr="005F63D1">
              <w:rPr>
                <w:rFonts w:ascii="Charter" w:hAnsi="Charter"/>
                <w:sz w:val="20"/>
                <w:szCs w:val="20"/>
              </w:rPr>
              <w:t>15 (20.83)</w:t>
            </w:r>
          </w:p>
        </w:tc>
        <w:tc>
          <w:tcPr>
            <w:tcW w:w="1561"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4710CD21" w14:textId="77777777" w:rsidR="00517A28" w:rsidRPr="005F63D1" w:rsidRDefault="005161E7">
            <w:pPr>
              <w:pStyle w:val="Body"/>
              <w:rPr>
                <w:rFonts w:ascii="Charter" w:hAnsi="Charter"/>
              </w:rPr>
            </w:pPr>
            <w:r w:rsidRPr="005F63D1">
              <w:rPr>
                <w:rFonts w:ascii="Charter" w:hAnsi="Charter"/>
                <w:sz w:val="20"/>
                <w:szCs w:val="20"/>
              </w:rPr>
              <w:t>17 (18.88)</w:t>
            </w:r>
          </w:p>
        </w:tc>
        <w:tc>
          <w:tcPr>
            <w:tcW w:w="849"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6A9A420D" w14:textId="77777777" w:rsidR="00517A28" w:rsidRPr="005F63D1" w:rsidRDefault="005161E7">
            <w:pPr>
              <w:pStyle w:val="Body"/>
              <w:rPr>
                <w:rFonts w:ascii="Charter" w:hAnsi="Charter"/>
              </w:rPr>
            </w:pPr>
            <w:r w:rsidRPr="005F63D1">
              <w:rPr>
                <w:rFonts w:ascii="Charter" w:hAnsi="Charter"/>
                <w:sz w:val="20"/>
                <w:szCs w:val="20"/>
              </w:rPr>
              <w:t>1.22</w:t>
            </w:r>
          </w:p>
        </w:tc>
        <w:tc>
          <w:tcPr>
            <w:tcW w:w="134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3AE4EF79" w14:textId="77777777" w:rsidR="00517A28" w:rsidRPr="005F63D1" w:rsidRDefault="005161E7">
            <w:pPr>
              <w:pStyle w:val="Body"/>
              <w:jc w:val="center"/>
              <w:rPr>
                <w:rFonts w:ascii="Charter" w:hAnsi="Charter"/>
              </w:rPr>
            </w:pPr>
            <w:r w:rsidRPr="005F63D1">
              <w:rPr>
                <w:rFonts w:ascii="Charter" w:hAnsi="Charter"/>
                <w:sz w:val="20"/>
                <w:szCs w:val="20"/>
              </w:rPr>
              <w:t>0.21</w:t>
            </w:r>
          </w:p>
        </w:tc>
        <w:tc>
          <w:tcPr>
            <w:tcW w:w="2320"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7BC3CD5E" w14:textId="77777777" w:rsidR="00517A28" w:rsidRPr="005F63D1" w:rsidRDefault="005161E7">
            <w:pPr>
              <w:pStyle w:val="Body"/>
              <w:rPr>
                <w:rFonts w:ascii="Charter" w:hAnsi="Charter"/>
              </w:rPr>
            </w:pPr>
            <w:r w:rsidRPr="005F63D1">
              <w:rPr>
                <w:rFonts w:ascii="Charter" w:hAnsi="Charter"/>
                <w:sz w:val="20"/>
                <w:szCs w:val="20"/>
              </w:rPr>
              <w:t>1.675 (0.702-3.128)</w:t>
            </w:r>
          </w:p>
        </w:tc>
        <w:tc>
          <w:tcPr>
            <w:tcW w:w="1059"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21AA9C3E" w14:textId="77777777" w:rsidR="00517A28" w:rsidRPr="005F63D1" w:rsidRDefault="005161E7">
            <w:pPr>
              <w:pStyle w:val="Body"/>
              <w:jc w:val="center"/>
              <w:rPr>
                <w:rFonts w:ascii="Charter" w:hAnsi="Charter"/>
              </w:rPr>
            </w:pPr>
            <w:r w:rsidRPr="005F63D1">
              <w:rPr>
                <w:rFonts w:ascii="Charter" w:hAnsi="Charter"/>
                <w:sz w:val="20"/>
                <w:szCs w:val="20"/>
              </w:rPr>
              <w:t>0.301</w:t>
            </w:r>
          </w:p>
        </w:tc>
      </w:tr>
      <w:tr w:rsidR="00517A28" w:rsidRPr="005F63D1" w14:paraId="12524E19" w14:textId="77777777">
        <w:trPr>
          <w:trHeight w:val="254"/>
        </w:trPr>
        <w:tc>
          <w:tcPr>
            <w:tcW w:w="1038"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vAlign w:val="center"/>
          </w:tcPr>
          <w:p w14:paraId="7E0C9199" w14:textId="77777777" w:rsidR="00517A28" w:rsidRPr="005F63D1" w:rsidRDefault="005161E7">
            <w:pPr>
              <w:pStyle w:val="Body"/>
              <w:rPr>
                <w:rFonts w:ascii="Charter" w:hAnsi="Charter"/>
              </w:rPr>
            </w:pPr>
            <w:r w:rsidRPr="005F63D1">
              <w:rPr>
                <w:rFonts w:ascii="Charter" w:hAnsi="Charter"/>
                <w:sz w:val="20"/>
                <w:szCs w:val="20"/>
              </w:rPr>
              <w:t>M - / T -</w:t>
            </w:r>
          </w:p>
        </w:tc>
        <w:tc>
          <w:tcPr>
            <w:tcW w:w="1386"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vAlign w:val="center"/>
          </w:tcPr>
          <w:p w14:paraId="433AA520" w14:textId="77777777" w:rsidR="00517A28" w:rsidRPr="005F63D1" w:rsidRDefault="005161E7">
            <w:pPr>
              <w:pStyle w:val="Body"/>
              <w:rPr>
                <w:rFonts w:ascii="Charter" w:hAnsi="Charter"/>
              </w:rPr>
            </w:pPr>
            <w:r w:rsidRPr="005F63D1">
              <w:rPr>
                <w:rFonts w:ascii="Charter" w:hAnsi="Charter"/>
                <w:sz w:val="20"/>
                <w:szCs w:val="20"/>
              </w:rPr>
              <w:t>9 (12.5)</w:t>
            </w:r>
          </w:p>
        </w:tc>
        <w:tc>
          <w:tcPr>
            <w:tcW w:w="1561"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vAlign w:val="center"/>
          </w:tcPr>
          <w:p w14:paraId="3BDD90EB" w14:textId="77777777" w:rsidR="00517A28" w:rsidRPr="005F63D1" w:rsidRDefault="005161E7">
            <w:pPr>
              <w:pStyle w:val="Body"/>
              <w:rPr>
                <w:rFonts w:ascii="Charter" w:hAnsi="Charter"/>
              </w:rPr>
            </w:pPr>
            <w:r w:rsidRPr="005F63D1">
              <w:rPr>
                <w:rFonts w:ascii="Charter" w:hAnsi="Charter"/>
                <w:sz w:val="20"/>
                <w:szCs w:val="20"/>
              </w:rPr>
              <w:t>20 (22.22)</w:t>
            </w:r>
          </w:p>
        </w:tc>
        <w:tc>
          <w:tcPr>
            <w:tcW w:w="849"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vAlign w:val="center"/>
          </w:tcPr>
          <w:p w14:paraId="3E0D6E79" w14:textId="77777777" w:rsidR="00517A28" w:rsidRPr="005F63D1" w:rsidRDefault="005161E7">
            <w:pPr>
              <w:pStyle w:val="Body"/>
              <w:rPr>
                <w:rFonts w:ascii="Charter" w:hAnsi="Charter"/>
              </w:rPr>
            </w:pPr>
            <w:r w:rsidRPr="005F63D1">
              <w:rPr>
                <w:rFonts w:ascii="Charter" w:hAnsi="Charter"/>
                <w:sz w:val="20"/>
                <w:szCs w:val="20"/>
              </w:rPr>
              <w:t>0,89</w:t>
            </w:r>
          </w:p>
        </w:tc>
        <w:tc>
          <w:tcPr>
            <w:tcW w:w="1343"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vAlign w:val="center"/>
          </w:tcPr>
          <w:p w14:paraId="2453EF66" w14:textId="77777777" w:rsidR="00517A28" w:rsidRPr="005F63D1" w:rsidRDefault="005161E7">
            <w:pPr>
              <w:pStyle w:val="Body"/>
              <w:jc w:val="center"/>
              <w:rPr>
                <w:rFonts w:ascii="Charter" w:hAnsi="Charter"/>
              </w:rPr>
            </w:pPr>
            <w:r w:rsidRPr="005F63D1">
              <w:rPr>
                <w:rFonts w:ascii="Charter" w:hAnsi="Charter"/>
                <w:sz w:val="20"/>
                <w:szCs w:val="20"/>
              </w:rPr>
              <w:t>0.34</w:t>
            </w:r>
          </w:p>
        </w:tc>
        <w:tc>
          <w:tcPr>
            <w:tcW w:w="232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vAlign w:val="center"/>
          </w:tcPr>
          <w:p w14:paraId="4313F4EB" w14:textId="77777777" w:rsidR="00517A28" w:rsidRPr="005F63D1" w:rsidRDefault="005161E7">
            <w:pPr>
              <w:pStyle w:val="Body"/>
              <w:rPr>
                <w:rFonts w:ascii="Charter" w:hAnsi="Charter"/>
              </w:rPr>
            </w:pPr>
            <w:r w:rsidRPr="005F63D1">
              <w:rPr>
                <w:rFonts w:ascii="Charter" w:hAnsi="Charter"/>
                <w:sz w:val="20"/>
                <w:szCs w:val="20"/>
              </w:rPr>
              <w:t>2.265 (1.771-4.216)</w:t>
            </w:r>
          </w:p>
        </w:tc>
        <w:tc>
          <w:tcPr>
            <w:tcW w:w="1059"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vAlign w:val="center"/>
          </w:tcPr>
          <w:p w14:paraId="6FA7C58B" w14:textId="77777777" w:rsidR="00517A28" w:rsidRPr="005F63D1" w:rsidRDefault="005161E7">
            <w:pPr>
              <w:pStyle w:val="Body"/>
              <w:jc w:val="center"/>
              <w:rPr>
                <w:rFonts w:ascii="Charter" w:hAnsi="Charter"/>
              </w:rPr>
            </w:pPr>
            <w:r w:rsidRPr="005F63D1">
              <w:rPr>
                <w:rFonts w:ascii="Charter" w:hAnsi="Charter"/>
                <w:sz w:val="20"/>
                <w:szCs w:val="20"/>
              </w:rPr>
              <w:t>0.107</w:t>
            </w:r>
          </w:p>
        </w:tc>
      </w:tr>
    </w:tbl>
    <w:p w14:paraId="7A8ADE6F" w14:textId="77777777" w:rsidR="00517A28" w:rsidRPr="005F63D1" w:rsidRDefault="00517A28">
      <w:pPr>
        <w:spacing w:after="160" w:line="259" w:lineRule="auto"/>
        <w:rPr>
          <w:rFonts w:ascii="Charter" w:eastAsia="Calibri" w:hAnsi="Charter" w:cs="Calibri"/>
          <w:color w:val="000000"/>
          <w:sz w:val="22"/>
          <w:szCs w:val="22"/>
          <w:u w:color="000000"/>
        </w:rPr>
      </w:pPr>
    </w:p>
    <w:p w14:paraId="3C8441DC" w14:textId="77777777" w:rsidR="00517A28" w:rsidRPr="005F63D1" w:rsidRDefault="005161E7">
      <w:pPr>
        <w:spacing w:after="160" w:line="259" w:lineRule="auto"/>
        <w:rPr>
          <w:rFonts w:ascii="Charter" w:eastAsia="Times New Roman" w:hAnsi="Charter"/>
          <w:color w:val="000000"/>
          <w:sz w:val="18"/>
          <w:szCs w:val="18"/>
          <w:u w:color="000000"/>
        </w:rPr>
      </w:pPr>
      <w:r w:rsidRPr="005F63D1">
        <w:rPr>
          <w:rFonts w:ascii="Charter" w:eastAsia="Calibri" w:hAnsi="Charter" w:cs="Calibri"/>
          <w:color w:val="000000"/>
          <w:sz w:val="18"/>
          <w:szCs w:val="18"/>
          <w:u w:color="000000"/>
        </w:rPr>
        <w:t>Table 4. Distribution of genotypic frequencies for GSTM and GSTT in the study population and a risk analysis of T1DM. Analysis by chi-square and multiple logistic regression to obtain adjusted odds ratio values (OR) and confidence intervals (95% CI). Significant difference between groups (p&lt;0.05).</w:t>
      </w:r>
    </w:p>
    <w:p w14:paraId="38DF6060" w14:textId="77777777" w:rsidR="00517A28" w:rsidRPr="005F63D1" w:rsidRDefault="00517A28">
      <w:pPr>
        <w:spacing w:after="160" w:line="259" w:lineRule="auto"/>
        <w:rPr>
          <w:rFonts w:ascii="Charter" w:eastAsia="Calibri" w:hAnsi="Charter" w:cs="Calibri"/>
          <w:color w:val="000000"/>
          <w:sz w:val="22"/>
          <w:szCs w:val="22"/>
          <w:u w:color="000000"/>
        </w:rPr>
      </w:pPr>
    </w:p>
    <w:p w14:paraId="6C811957" w14:textId="77777777" w:rsidR="00517A28" w:rsidRPr="005F63D1" w:rsidRDefault="005161E7">
      <w:pPr>
        <w:pStyle w:val="Body"/>
        <w:rPr>
          <w:rFonts w:ascii="Charter" w:eastAsia="Charter" w:hAnsi="Charter" w:cs="Charter"/>
          <w:b/>
          <w:bCs/>
          <w:i/>
          <w:iCs/>
          <w:sz w:val="24"/>
          <w:szCs w:val="24"/>
        </w:rPr>
      </w:pPr>
      <w:r w:rsidRPr="005F63D1">
        <w:rPr>
          <w:rFonts w:ascii="Charter" w:hAnsi="Charter"/>
          <w:b/>
          <w:bCs/>
          <w:i/>
          <w:iCs/>
          <w:sz w:val="24"/>
          <w:szCs w:val="24"/>
        </w:rPr>
        <w:t>TNF-alpha</w:t>
      </w:r>
    </w:p>
    <w:p w14:paraId="2FB60FF9" w14:textId="77777777" w:rsidR="00517A28" w:rsidRPr="005F63D1" w:rsidRDefault="00517A28">
      <w:pPr>
        <w:pStyle w:val="Body"/>
        <w:rPr>
          <w:rFonts w:ascii="Charter" w:eastAsia="Charter" w:hAnsi="Charter" w:cs="Charter"/>
          <w:i/>
          <w:iCs/>
          <w:sz w:val="24"/>
          <w:szCs w:val="24"/>
        </w:rPr>
      </w:pPr>
    </w:p>
    <w:p w14:paraId="768F968D" w14:textId="77777777" w:rsidR="00517A28" w:rsidRPr="005F63D1" w:rsidRDefault="005161E7">
      <w:pPr>
        <w:spacing w:after="160" w:line="259" w:lineRule="auto"/>
        <w:jc w:val="both"/>
        <w:rPr>
          <w:rFonts w:ascii="Charter" w:eastAsia="Charter" w:hAnsi="Charter" w:cs="Charter"/>
          <w:color w:val="000000"/>
          <w:sz w:val="22"/>
          <w:szCs w:val="22"/>
          <w:u w:color="000000"/>
        </w:rPr>
      </w:pPr>
      <w:r w:rsidRPr="005F63D1">
        <w:rPr>
          <w:rFonts w:ascii="Charter" w:hAnsi="Charter" w:cs="Arial Unicode MS"/>
          <w:color w:val="000000"/>
          <w:sz w:val="22"/>
          <w:szCs w:val="22"/>
          <w:u w:color="000000"/>
        </w:rPr>
        <w:t xml:space="preserve">Controls compared to cases showed a significant higher frequency of TNF-alpha GG genotype (p=0.004, OR=0.830, 95% CI  0.601-0.976) (table 2). Regarding allele frequencies, the cases revealed a significant </w:t>
      </w:r>
      <w:proofErr w:type="spellStart"/>
      <w:r w:rsidRPr="005F63D1">
        <w:rPr>
          <w:rFonts w:ascii="Charter" w:hAnsi="Charter" w:cs="Arial Unicode MS"/>
          <w:color w:val="000000"/>
          <w:sz w:val="22"/>
          <w:szCs w:val="22"/>
          <w:u w:color="000000"/>
        </w:rPr>
        <w:t>increased</w:t>
      </w:r>
      <w:proofErr w:type="spellEnd"/>
      <w:r w:rsidRPr="005F63D1">
        <w:rPr>
          <w:rFonts w:ascii="Charter" w:hAnsi="Charter" w:cs="Arial Unicode MS"/>
          <w:color w:val="000000"/>
          <w:sz w:val="22"/>
          <w:szCs w:val="22"/>
          <w:u w:color="000000"/>
        </w:rPr>
        <w:t xml:space="preserve"> in frequency of TNF-alpha  allele G (p=0.005, OR 0.789, 95% CI 0.579-0.956). The dominant model of Fisher’s exact test did not reveal any significant increased risk for diabetes regarding heterozygous and mutant genotype ( χ2 =2.091, OR=1.197 95% CI=0.635-1.351, p=0.08; χ2 =3.107, OR=1.321 95% CI=1.135-1.611, p=0.06, respectively). The recessive model did not reach statistical significance at all.</w:t>
      </w:r>
    </w:p>
    <w:p w14:paraId="7D8F89EB" w14:textId="5E00EC47" w:rsidR="00517A28" w:rsidRPr="005F63D1" w:rsidRDefault="005161E7">
      <w:pPr>
        <w:pStyle w:val="Body"/>
        <w:jc w:val="both"/>
        <w:rPr>
          <w:rFonts w:ascii="Charter" w:hAnsi="Charter"/>
        </w:rPr>
      </w:pPr>
      <w:r w:rsidRPr="005F63D1">
        <w:rPr>
          <w:rFonts w:ascii="Charter" w:hAnsi="Charter"/>
        </w:rPr>
        <w:t>In our case TNF-alpha GA genotype and corresponding TNF-</w:t>
      </w:r>
      <w:proofErr w:type="spellStart"/>
      <w:r w:rsidRPr="005F63D1">
        <w:rPr>
          <w:rFonts w:ascii="Charter" w:hAnsi="Charter"/>
        </w:rPr>
        <w:t>apha</w:t>
      </w:r>
      <w:proofErr w:type="spellEnd"/>
      <w:r w:rsidRPr="005F63D1">
        <w:rPr>
          <w:rFonts w:ascii="Charter" w:hAnsi="Charter"/>
        </w:rPr>
        <w:t xml:space="preserve"> level correlated positively with Adiponectin serum level (</w:t>
      </w:r>
      <w:r w:rsidRPr="005F63D1">
        <w:rPr>
          <w:rFonts w:ascii="Charter" w:hAnsi="Charter"/>
          <w:i/>
          <w:iCs/>
        </w:rPr>
        <w:t>r</w:t>
      </w:r>
      <w:r w:rsidRPr="005F63D1">
        <w:rPr>
          <w:rFonts w:ascii="Charter" w:hAnsi="Charter"/>
        </w:rPr>
        <w:t xml:space="preserve">=0.44,  </w:t>
      </w:r>
      <w:r w:rsidRPr="005F63D1">
        <w:rPr>
          <w:rFonts w:ascii="Charter" w:hAnsi="Charter"/>
          <w:i/>
          <w:iCs/>
        </w:rPr>
        <w:t>p=</w:t>
      </w:r>
      <w:r w:rsidRPr="005F63D1">
        <w:rPr>
          <w:rFonts w:ascii="Charter" w:hAnsi="Charter"/>
        </w:rPr>
        <w:t xml:space="preserve">0.01). The 308G/A  TNF-alpha variant gene was associated with a decreased 1.056-fold risk to develop metabolic syndrome (p = 0.003); correlating negatively with lipid profile ( </w:t>
      </w:r>
      <w:r w:rsidRPr="005F63D1">
        <w:rPr>
          <w:rFonts w:ascii="Charter" w:hAnsi="Charter"/>
          <w:i/>
          <w:iCs/>
        </w:rPr>
        <w:t>r</w:t>
      </w:r>
      <w:r w:rsidRPr="005F63D1">
        <w:rPr>
          <w:rFonts w:ascii="Charter" w:hAnsi="Charter"/>
        </w:rPr>
        <w:t xml:space="preserve">=−0.42,  </w:t>
      </w:r>
      <w:r w:rsidRPr="005F63D1">
        <w:rPr>
          <w:rFonts w:ascii="Charter" w:hAnsi="Charter"/>
          <w:i/>
          <w:iCs/>
        </w:rPr>
        <w:t>p</w:t>
      </w:r>
      <w:r w:rsidRPr="005F63D1">
        <w:rPr>
          <w:rFonts w:ascii="Charter" w:hAnsi="Charter"/>
        </w:rPr>
        <w:t>&lt;0.02). TNF-alpha GG genotype correlated positively with HbA1c (</w:t>
      </w:r>
      <w:r w:rsidRPr="005F63D1">
        <w:rPr>
          <w:rFonts w:ascii="Charter" w:hAnsi="Charter"/>
          <w:i/>
          <w:iCs/>
        </w:rPr>
        <w:t>r</w:t>
      </w:r>
      <w:r w:rsidRPr="005F63D1">
        <w:rPr>
          <w:rFonts w:ascii="Charter" w:hAnsi="Charter"/>
        </w:rPr>
        <w:t xml:space="preserve">=0.21,  </w:t>
      </w:r>
      <w:r w:rsidRPr="005F63D1">
        <w:rPr>
          <w:rFonts w:ascii="Charter" w:hAnsi="Charter"/>
          <w:i/>
          <w:iCs/>
        </w:rPr>
        <w:t>p</w:t>
      </w:r>
      <w:r w:rsidRPr="005F63D1">
        <w:rPr>
          <w:rFonts w:ascii="Charter" w:hAnsi="Charter"/>
        </w:rPr>
        <w:t>&lt;0.01).</w:t>
      </w:r>
    </w:p>
    <w:p w14:paraId="6D7CCCF8" w14:textId="77777777" w:rsidR="007D625A" w:rsidRPr="005F63D1" w:rsidRDefault="007D625A">
      <w:pPr>
        <w:pStyle w:val="Body"/>
        <w:jc w:val="both"/>
        <w:rPr>
          <w:rFonts w:ascii="Charter" w:hAnsi="Charter"/>
        </w:rPr>
      </w:pPr>
    </w:p>
    <w:p w14:paraId="6475380E" w14:textId="6126D8A9" w:rsidR="007D625A" w:rsidRPr="00C8017A" w:rsidRDefault="007D625A">
      <w:pPr>
        <w:pStyle w:val="Body"/>
        <w:jc w:val="both"/>
        <w:rPr>
          <w:rFonts w:ascii="Charter" w:hAnsi="Charter"/>
          <w:b/>
        </w:rPr>
      </w:pPr>
      <w:r w:rsidRPr="00C8017A">
        <w:rPr>
          <w:rFonts w:ascii="Charter" w:hAnsi="Charter"/>
          <w:b/>
        </w:rPr>
        <w:t>Discussi</w:t>
      </w:r>
      <w:r w:rsidR="00732751" w:rsidRPr="00C8017A">
        <w:rPr>
          <w:rFonts w:ascii="Charter" w:hAnsi="Charter"/>
          <w:b/>
        </w:rPr>
        <w:t>on</w:t>
      </w:r>
    </w:p>
    <w:p w14:paraId="7FCAAE7C" w14:textId="1D94D4D8" w:rsidR="00732751" w:rsidRPr="005F63D1" w:rsidRDefault="00732751">
      <w:pPr>
        <w:pStyle w:val="Body"/>
        <w:jc w:val="both"/>
        <w:rPr>
          <w:rFonts w:ascii="Charter" w:hAnsi="Charter"/>
        </w:rPr>
      </w:pPr>
    </w:p>
    <w:p w14:paraId="71B61771" w14:textId="2C2CCEDA" w:rsidR="00732751" w:rsidRPr="005F63D1" w:rsidRDefault="00732751">
      <w:pPr>
        <w:pStyle w:val="Body"/>
        <w:jc w:val="both"/>
        <w:rPr>
          <w:rFonts w:ascii="Charter" w:hAnsi="Charter"/>
        </w:rPr>
      </w:pPr>
      <w:r w:rsidRPr="005F63D1">
        <w:rPr>
          <w:rFonts w:ascii="Charter" w:hAnsi="Charter"/>
        </w:rPr>
        <w:t>Regarding the adiponectin polymorphic variant, both the GG and the GT genotypes seemed to be protective factors against the development of T1DM; indeed, the G allele itself is a protective factor(OR 0.577, CI 95% 0.336-.0802, p=0.001), with other polymorphisms of the AdipoQ gene having a protective effect for type 1 diabetes</w:t>
      </w:r>
      <w:r w:rsidRPr="005F63D1">
        <w:rPr>
          <w:rFonts w:ascii="Charter" w:hAnsi="Charter"/>
        </w:rPr>
        <w:fldChar w:fldCharType="begin" w:fldLock="1"/>
      </w:r>
      <w:r w:rsidRPr="005F63D1">
        <w:rPr>
          <w:rFonts w:ascii="Charter" w:hAnsi="Charter"/>
        </w:rPr>
        <w:instrText>ADDIN CSL_CITATION {"citationItems":[{"id":"ITEM-1","itemData":{"DOI":"10.1186/1471-2350-11-116","ISSN":"1471-2350","abstract":"MCF2L2, ADIPOQ and SOX2 genes are located in chromosome 3q26-27, which is linked to diabetic nephropathy (DN). ADIPOQ and SOX2 genetic polymorphisms are found to be associated with DN. In the present study, we first investigated the association between MCF2L2 and DN, and then evaluated effects of these three genes on the development of DN. A total of 1177 type 1 diabetes patients with and without DN from the GoKinD study were genotyped with TaqMan allelic discrimination. All subjects were of European descent. Leu359Ile T/G variant in the MCF2L2 gene was found to be associated with DN in female subjects (P = 0.017, OR = 0.701, 95%CI 0.524-0.938) but not in males. The GG genotype carriers among female patients with DN had tendency decreased creatinine and cystatin levels compared to the carriers with either TT or TG genotypes. This polymorphism MCF2L2-rs7639705 together with SNPs of ADIPOQ-rs266729 and SOX2-rs11915160 had combined effects on decreased risk of DN in females (P = 0.001). The present study provides evidence that MCF2L2, ADIPOQ and SOX2 genetic polymorphisms have effects on the resistance of DN in female T1D patients, and suggests that the linkage with DN in chromosome 3q may be explained by the cumulated genetic effects.","author":[{"dropping-particle":"","family":"Zhang","given":"Dongying","non-dropping-particle":"","parse-names":false,"suffix":""},{"dropping-particle":"","family":"Efendic","given":"Suad","non-dropping-particle":"","parse-names":false,"suffix":""},{"dropping-particle":"","family":"Brismar","given":"Kerstin","non-dropping-particle":"","parse-names":false,"suffix":""},{"dropping-particle":"","family":"Gu","given":"Harvest F","non-dropping-particle":"","parse-names":false,"suffix":""}],"container-title":"BMC Medical Genetics","id":"ITEM-1","issue":"1","issued":{"date-parts":[["2010","12","28"]]},"page":"116","publisher":"BioMed Central","title":"Effects of MCF2L2, ADIPOQ and SOX2 genetic polymorphisms on the development of nephropathy in type 1 Diabetes Mellitus","type":"article-journal","volume":"11"},"uris":["http://www.mendeley.com/documents/?uuid=097476cd-83bc-3f51-af34-86d4c64e0e6d"]}],"mendeley":{"formattedCitation":"(3)","plainTextFormattedCitation":"(3)","previouslyFormattedCitation":"(3)"},"properties":{"noteIndex":0},"schema":"https://github.com/citation-style-language/schema/raw/master/csl-citation.json"}</w:instrText>
      </w:r>
      <w:r w:rsidRPr="005F63D1">
        <w:rPr>
          <w:rFonts w:ascii="Charter" w:hAnsi="Charter"/>
        </w:rPr>
        <w:fldChar w:fldCharType="separate"/>
      </w:r>
      <w:r w:rsidRPr="005F63D1">
        <w:rPr>
          <w:rFonts w:ascii="Charter" w:hAnsi="Charter"/>
          <w:noProof/>
        </w:rPr>
        <w:t>(3)</w:t>
      </w:r>
      <w:r w:rsidRPr="005F63D1">
        <w:rPr>
          <w:rFonts w:ascii="Charter" w:hAnsi="Charter"/>
        </w:rPr>
        <w:fldChar w:fldCharType="end"/>
      </w:r>
      <w:r w:rsidRPr="005F63D1">
        <w:rPr>
          <w:rFonts w:ascii="Charter" w:hAnsi="Charter"/>
        </w:rPr>
        <w:t>, however acting as a risk factor for type 2 diabetes mellitus</w:t>
      </w:r>
      <w:r w:rsidRPr="005F63D1">
        <w:rPr>
          <w:rFonts w:ascii="Charter" w:hAnsi="Charter"/>
        </w:rPr>
        <w:fldChar w:fldCharType="begin" w:fldLock="1"/>
      </w:r>
      <w:r w:rsidRPr="005F63D1">
        <w:rPr>
          <w:rFonts w:ascii="Charter" w:hAnsi="Charter"/>
        </w:rPr>
        <w:instrText>ADDIN CSL_CITATION {"citationItems":[{"id":"ITEM-1","itemData":{"DOI":"10.2337/db08-0598","ISSN":"1939-327X","PMID":"19056609","abstract":"OBJECTIVE Polymorphisms in the adiponectin gene (ADIPOQ) have been associated with type 2 diabetes and diabetic nephropathy in type 1 diabetes, in mostly European-derived populations. RESEARCH DESIGN AND METHODS A comprehensive association analysis of 24 single-nucleotide polymorphisms (SNPs) in the adiponectin gene was performed for type 2 diabetes and diabetic nephropathy in African Americans. RESULTS The minor allele (A) in a single SNP in intron 1 (rs182052) was associated with diabetic nephropathy (P = 0.0015, odds ratio [OR] 1.37, CI 1.13-1.67, dominant model) in an African American sample of 851 case subjects with diabetic nephropathy and 871 nondiabetic control subjects in analyses incorporating adjustment for varying levels of racial admixture. This association remained significant after adjustment of the data for BMI, age, and sex (P = 0.0013-0.0004). We further tested this SNP for association with longstanding type 2 diabetes without nephropathy (n = 317), and evidence of association was also significant (P = 0.0054, OR 1.46, CI 1.12-1.91, dominant model) when compared with the same set of 871 nondiabetic control subjects. Combining the type 2 diabetes and diabetic nephropathy samples into a single group of case subjects (n = 1,168) resulted in the most significant evidence of association (P = 0.0003, OR 1.40, CI 1.17-1.67, dominant model). Association tests between age at onset of type 2 diabetes and the rs182052 genotypes also revealed significant association between the presence of the minor allele (A/A or A/G) and earlier onset of type 2 diabetes. CONCLUSIONS The SNP rs182052 in intron 1 of the adiponectin gene is associated with type 2 diabetes in African Americans.","author":[{"dropping-particle":"","family":"Bostrom","given":"Meredith A","non-dropping-particle":"","parse-names":false,"suffix":""},{"dropping-particle":"","family":"Freedman","given":"Barry I","non-dropping-particle":"","parse-names":false,"suffix":""},{"dropping-particle":"","family":"Langefeld","given":"Carl D","non-dropping-particle":"","parse-names":false,"suffix":""},{"dropping-particle":"","family":"Liu","given":"Lingyi","non-dropping-particle":"","parse-names":false,"suffix":""},{"dropping-particle":"","family":"Hicks","given":"Pamela J","non-dropping-particle":"","parse-names":false,"suffix":""},{"dropping-particle":"","family":"Bowden","given":"Donald W","non-dropping-particle":"","parse-names":false,"suffix":""},{"dropping-particle":"","family":"Beck","given":"Stephanie R","non-dropping-particle":"","parse-names":false,"suffix":""},{"dropping-particle":"","family":"Brown","given":"W Mark","non-dropping-particle":"","parse-names":false,"suffix":""},{"dropping-particle":"","family":"Rich","given":"Stephen S","non-dropping-particle":"","parse-names":false,"suffix":""},{"dropping-particle":"","family":"Bowden","given":"Donald W","non-dropping-particle":"","parse-names":false,"suffix":""}],"container-title":"Diabetes","id":"ITEM-1","issue":"2","issued":{"date-parts":[["2009","2","1"]]},"page":"499-504","publisher":"American Diabetes Association","title":"Association of adiponectin gene polymorphisms with type 2 diabetes in an African American population enriched for nephropathy.","type":"article-journal","volume":"58"},"uris":["http://www.mendeley.com/documents/?uuid=5940750c-85a9-3155-a198-a004a4223a6f"]}],"mendeley":{"formattedCitation":"(4)","plainTextFormattedCitation":"(4)","previouslyFormattedCitation":"(4)"},"properties":{"noteIndex":0},"schema":"https://github.com/citation-style-language/schema/raw/master/csl-citation.json"}</w:instrText>
      </w:r>
      <w:r w:rsidRPr="005F63D1">
        <w:rPr>
          <w:rFonts w:ascii="Charter" w:hAnsi="Charter"/>
        </w:rPr>
        <w:fldChar w:fldCharType="separate"/>
      </w:r>
      <w:r w:rsidRPr="005F63D1">
        <w:rPr>
          <w:rFonts w:ascii="Charter" w:hAnsi="Charter"/>
          <w:noProof/>
        </w:rPr>
        <w:t>(4)</w:t>
      </w:r>
      <w:r w:rsidRPr="005F63D1">
        <w:rPr>
          <w:rFonts w:ascii="Charter" w:hAnsi="Charter"/>
        </w:rPr>
        <w:fldChar w:fldCharType="end"/>
      </w:r>
      <w:r w:rsidRPr="005F63D1">
        <w:rPr>
          <w:rFonts w:ascii="Charter" w:hAnsi="Charter"/>
        </w:rPr>
        <w:t>. Serum adiponectin concentrations are considered lowered under 10 µg/L- this has been correlated with an increased risk of cardiovascular disease as well as retinopathy in type 2 diabetes mellitus patients. However in type 1 diabetes, the level of adiponectin is above average</w:t>
      </w:r>
      <w:r w:rsidRPr="005F63D1">
        <w:rPr>
          <w:rFonts w:ascii="Charter" w:hAnsi="Charter"/>
        </w:rPr>
        <w:fldChar w:fldCharType="begin" w:fldLock="1"/>
      </w:r>
      <w:r w:rsidRPr="005F63D1">
        <w:rPr>
          <w:rFonts w:ascii="Charter" w:hAnsi="Charter"/>
        </w:rPr>
        <w:instrText>ADDIN CSL_CITATION {"citationItems":[{"id":"ITEM-1","itemData":{"DOI":"10.1530/EJE-07-0250","ISBN":"0804-4643","ISSN":"08044643","PMID":"17893263","abstract":"OBJECTIVE: Adiponectin plays an important role in pathophysiology of obesity, type 2 diabetes and cardiovascular disease. The aim of this study was to determine adiponectin concentrations in children and adolescents with type 1 diabetes in a longitudinal manner and to study the impact of age, gender, body mass index (BMI) and metabolic control. Research design and methods: In this study, 88 children and adolescents with type 1 diabetes were followed longitudinally. At baseline and during follow-up, serum levels of adiponectin were measured by enzyme-linked immunoassay and correlated with clinical data, HbA1c and lipids. Healthy children (n = 259) were chosen as a control group. RESULTS: Serum adiponectin levels were significantly higher in children with type 1 diabetes compared with healthy children (13.1 vs 9.1 microg/ml at baseline, P &lt; 0.001). Adiponectin concentrations inversely correlated with BMI s.d.s (P &lt; 0.001). No significant difference of adiponectin levels regarding gender, diabetes duration or HbA1c was seen. Adiponectin concentrations decreased in males with type 1 diabetes during puberty (P = 0.03) while there was no significant change in females. In a subgroup of patients with new onset type 1 diabetes, adiponectin concentrations were not different from adiponectin levels in control subjects but increased during follow-up (P = 0.007). Stepwise multiple regression analysis showed that most important predictors of adiponectin levels in type 1 diabetes at the end of the study were adiponectin concentration at baseline (beta = 0.574, P &lt; 0.001) and BMI s.d.s (beta = -0.302, P = 0.001, r2 = 0.56). CONCLUSIONS: Children and adolescents with type 1 diabetes have BMI-dependent elevated serum concentrations of adiponectin compared with healthy children.","author":[{"dropping-particle":"","family":"Galler","given":"Angela","non-dropping-particle":"","parse-names":false,"suffix":""},{"dropping-particle":"","family":"Gelbrich","given":"Götz","non-dropping-particle":"","parse-names":false,"suffix":""},{"dropping-particle":"","family":"Kratzsch","given":"Jürgen","non-dropping-particle":"","parse-names":false,"suffix":""},{"dropping-particle":"","family":"Noack","given":"Nicole","non-dropping-particle":"","parse-names":false,"suffix":""},{"dropping-particle":"","family":"Kapellen","given":"Thomas","non-dropping-particle":"","parse-names":false,"suffix":""},{"dropping-particle":"","family":"Kiess","given":"Wieland","non-dropping-particle":"","parse-names":false,"suffix":""}],"container-title":"European Journal of Endocrinology","id":"ITEM-1","issue":"4","issued":{"date-parts":[["2007"]]},"page":"481-489","title":"Elevated serum levels of adiponectin in children, adolescents and young adults with type 1 diabetes and the impact of age, gender, body mass index and metabolic control: A longitudinal study","type":"article-journal","volume":"157"},"uris":["http://www.mendeley.com/documents/?uuid=ac943117-6c2a-362c-9cf2-759054da9b7a"]},{"id":"ITEM-2","itemData":{"DOI":"10.2337/DIACARE.25.9.1665","ISSN":"0149-5992","PMID":"12196453","abstract":"Adiponectin, also referred to as Acrp30, AdipoQ, and GBP28, is a plasma protein exclusively produced by adipose tissue and a possible insulin-sensitizing agent (1–6). Serum adiponectin levels are negatively correlated to BMI in healthy individuals and decreased in type 2 diabetic patients (1–6). However, serum adiponectin levels in type 1 diabetes have not been elucidated.\n\nWe examined the serum adiponectin concentrations in 46 type 1 diabetic patients (21 males and 25 females) and compared them with those of BMI-matched healthy control subjects (17 males and 19 females). Mean age was 33 ± 3 and 33 ± 4 years, BMI was 19.8 ± 0.5 and 19.9 ± 0.6 kg/m2, HbA1c level was 9.7± 0.7 and 10.4 ± 0.6%, duration of diabetes was 3.2 ± 0.9 and 3.4 ± 1.3 years, and urinary C-peptide excretion was 18.4 ± 4.3 and 18.0 ± 2.4 μg/day in male and …","author":[{"dropping-particle":"","family":"Imagawa","given":"Akihisa","non-dropping-particle":"","parse-names":false,"suffix":""},{"dropping-particle":"","family":"Funahashi","given":"Tohru","non-dropping-particle":"","parse-names":false,"suffix":""},{"dropping-particle":"","family":"Nakamura","given":"Tadashi","non-dropping-particle":"","parse-names":false,"suffix":""},{"dropping-particle":"","family":"Moriwaki","given":"Makoto","non-dropping-particle":"","parse-names":false,"suffix":""},{"dropping-particle":"","family":"Tanaka","given":"Sachiyo","non-dropping-particle":"","parse-names":false,"suffix":""},{"dropping-particle":"","family":"Nishizawa","given":"Hitoshi","non-dropping-particle":"","parse-names":false,"suffix":""},{"dropping-particle":"","family":"Sayama","given":"Kouichi","non-dropping-particle":"","parse-names":false,"suffix":""},{"dropping-particle":"","family":"Uno","given":"Sae","non-dropping-particle":"","parse-names":false,"suffix":""},{"dropping-particle":"","family":"Iwahashi","given":"Hiromi","non-dropping-particle":"","parse-names":false,"suffix":""},{"dropping-particle":"","family":"Yamagata","given":"Kazuya","non-dropping-particle":"","parse-names":false,"suffix":""},{"dropping-particle":"","family":"Miyagawa","given":"Jun-Ichiro","non-dropping-particle":"","parse-names":false,"suffix":""},{"dropping-particle":"","family":"Matsuzawa","given":"Yuji","non-dropping-particle":"","parse-names":false,"suffix":""}],"container-title":"Diabetes care","id":"ITEM-2","issue":"9","issued":{"date-parts":[["2002","9","1"]]},"page":"1665-6","publisher":"American Diabetes Association","title":"Elevated serum concentration of adipose-derived factor, adiponectin, in patients with type 1 diabetes.","type":"article-journal","volume":"25"},"uris":["http://www.mendeley.com/documents/?uuid=b2e50367-7621-3614-b66d-f94e23da9755"]}],"mendeley":{"formattedCitation":"(2,5)","plainTextFormattedCitation":"(2,5)","previouslyFormattedCitation":"(2,5)"},"properties":{"noteIndex":0},"schema":"https://github.com/citation-style-language/schema/raw/master/csl-citation.json"}</w:instrText>
      </w:r>
      <w:r w:rsidRPr="005F63D1">
        <w:rPr>
          <w:rFonts w:ascii="Charter" w:hAnsi="Charter"/>
        </w:rPr>
        <w:fldChar w:fldCharType="separate"/>
      </w:r>
      <w:r w:rsidRPr="005F63D1">
        <w:rPr>
          <w:rFonts w:ascii="Charter" w:hAnsi="Charter"/>
          <w:noProof/>
        </w:rPr>
        <w:t>(2,5)</w:t>
      </w:r>
      <w:r w:rsidRPr="005F63D1">
        <w:rPr>
          <w:rFonts w:ascii="Charter" w:hAnsi="Charter"/>
        </w:rPr>
        <w:fldChar w:fldCharType="end"/>
      </w:r>
      <w:r w:rsidRPr="005F63D1">
        <w:rPr>
          <w:rFonts w:ascii="Charter" w:hAnsi="Charter"/>
        </w:rPr>
        <w:t>, with increased adiponectin levels being associated with microvascular complications</w:t>
      </w:r>
      <w:r w:rsidRPr="005F63D1">
        <w:rPr>
          <w:rFonts w:ascii="Charter" w:hAnsi="Charter"/>
        </w:rPr>
        <w:fldChar w:fldCharType="begin" w:fldLock="1"/>
      </w:r>
      <w:r w:rsidR="00976565" w:rsidRPr="005F63D1">
        <w:rPr>
          <w:rFonts w:ascii="Charter" w:hAnsi="Charter"/>
        </w:rPr>
        <w:instrText>ADDIN CSL_CITATION {"citationItems":[{"id":"ITEM-1","itemData":{"DOI":"10.1007/s00125-005-1850-z","ISSN":"0012-186X","author":[{"dropping-particle":"","family":"Frystyk","given":"J.","non-dropping-particle":"","parse-names":false,"suffix":""},{"dropping-particle":"","family":"Tarnow","given":"L.","non-dropping-particle":"","parse-names":false,"suffix":""},{"dropping-particle":"","family":"Krarup Hansen","given":"T.","non-dropping-particle":"","parse-names":false,"suffix":""},{"dropping-particle":"","family":"Parving","given":"H.-H.","non-dropping-particle":"","parse-names":false,"suffix":""},{"dropping-particle":"","family":"Flyvbjerg","given":"A.","non-dropping-particle":"","parse-names":false,"suffix":""}],"container-title":"Diabetologia","id":"ITEM-1","issue":"9","issued":{"date-parts":[["2005","9","3"]]},"page":"1911-1918","publisher":"Springer-Verlag","title":"Increased serum adiponectin levels in type 1 diabetic patients with microvascular complications","type":"article-journal","volume":"48"},"uris":["http://www.mendeley.com/documents/?uuid=7fa27595-fe26-391d-b644-5ab8490c50b3"]}],"mendeley":{"formattedCitation":"(6)","plainTextFormattedCitation":"(6)","previouslyFormattedCitation":"(6)"},"properties":{"noteIndex":0},"schema":"https://github.com/citation-style-language/schema/raw/master/csl-citation.json"}</w:instrText>
      </w:r>
      <w:r w:rsidRPr="005F63D1">
        <w:rPr>
          <w:rFonts w:ascii="Charter" w:hAnsi="Charter"/>
        </w:rPr>
        <w:fldChar w:fldCharType="separate"/>
      </w:r>
      <w:r w:rsidRPr="005F63D1">
        <w:rPr>
          <w:rFonts w:ascii="Charter" w:hAnsi="Charter"/>
          <w:noProof/>
        </w:rPr>
        <w:t>(6)</w:t>
      </w:r>
      <w:r w:rsidRPr="005F63D1">
        <w:rPr>
          <w:rFonts w:ascii="Charter" w:hAnsi="Charter"/>
        </w:rPr>
        <w:fldChar w:fldCharType="end"/>
      </w:r>
      <w:r w:rsidRPr="005F63D1">
        <w:rPr>
          <w:rFonts w:ascii="Charter" w:hAnsi="Charter"/>
        </w:rPr>
        <w:t xml:space="preserve">. </w:t>
      </w:r>
    </w:p>
    <w:p w14:paraId="5C4401BF" w14:textId="3803E536" w:rsidR="003B181A" w:rsidRPr="005F63D1" w:rsidRDefault="003B181A">
      <w:pPr>
        <w:pStyle w:val="Body"/>
        <w:jc w:val="both"/>
        <w:rPr>
          <w:rFonts w:ascii="Charter" w:hAnsi="Charter"/>
        </w:rPr>
      </w:pPr>
    </w:p>
    <w:p w14:paraId="087D26E1" w14:textId="1095ED3B" w:rsidR="003B181A" w:rsidRPr="005F63D1" w:rsidRDefault="005C7532">
      <w:pPr>
        <w:pStyle w:val="Body"/>
        <w:jc w:val="both"/>
        <w:rPr>
          <w:rFonts w:ascii="Charter" w:hAnsi="Charter"/>
        </w:rPr>
      </w:pPr>
      <w:r w:rsidRPr="005F63D1">
        <w:rPr>
          <w:rFonts w:ascii="Charter" w:hAnsi="Charter"/>
        </w:rPr>
        <w:t xml:space="preserve">The findings for GSTT1/M1 fill in some gaps left by current literature, confirming the M1 null </w:t>
      </w:r>
      <w:r w:rsidR="00002CE0" w:rsidRPr="005F63D1">
        <w:rPr>
          <w:rFonts w:ascii="Charter" w:hAnsi="Charter"/>
        </w:rPr>
        <w:fldChar w:fldCharType="begin" w:fldLock="1"/>
      </w:r>
      <w:r w:rsidR="00976565" w:rsidRPr="005F63D1">
        <w:rPr>
          <w:rFonts w:ascii="Charter" w:hAnsi="Charter"/>
        </w:rPr>
        <w:instrText>ADDIN CSL_CITATION {"citationItems":[{"id":"ITEM-1","itemData":{"DOI":"10.4103/0022-3859.68633","ISSN":"0972-2823","PMID":"20739761","abstract":"BACKGROUND Diabetes mellitus is associated with an increased production of reactive oxygen species (ROS) and a reduction in antioxidant defense. The oxidative stress becomes evident as a result of accumulation of ROS in conditions of inflammation and Type 2 diabetes mellitus (T2DM). The genes involved in redox balance, which determines the susceptibility to T2DM remain unclear. In humans, the glutathione S-transferase (GST) family comprises several classes of GST isozymes, the polymorphic variants of GSTM1, T1 and P1 genes result in decreased or loss of enzyme activity. AIMS The present study evaluated the effect of genetic polymorphisms of the GST gene family on the risk of developing T2DM in the North Indian population. SETTINGS AND DESIGN GSTM1, T1 and P1 polymorphisms were genotyped in 100 T2DM patients and 200 healthy controls from North India to analyze their association with T2DM susceptibility. MATERIALS AND METHODS Analysis of GSTM1 and GSTT1 gene polymorphisms was performed by multiplex polymerase chain reaction (PCR) and GSTP1 by PCR-Restriction Fragment Length Polymorphism (RFLP). STATISTICAL ANALYSIS Fisher's exact test and chi2 statistics using SPSS software (Version-15.0). RESULTS We observed significant association of GSTM1 null (P=0.004, OR= 2.042, 95%CI= 1.254-3.325) and GSTP1 (I/V) (P=0.001, OR= 0.397, 95%CI=0.225-0.701) with T2DM and no significant association with GSTT1 (P=0.493). The combined analysis of the three genotypes GSTM1 null, T1 present and P1 (I/I) demonstrated an increase in T2DM risk (P= 0.005, OR= 2.431 95% CI=1.315-4.496). CONCLUSIONS This is the first study showing the association of a combined effect of GSTM1, T1 and P1 genotypes in a representative cohort of Indian patients with T2DM. Since significant association was seen in GSTM1 null and GSTP1 (I/V) and multiple association in GSTM1 null, T1 present and P1 (I/I), these polymorphisms can be screened in the population to determine the diabetic risk.","author":[{"dropping-particle":"","family":"Bid","given":"H K","non-dropping-particle":"","parse-names":false,"suffix":""},{"dropping-particle":"","family":"Konwar","given":"R","non-dropping-particle":"","parse-names":false,"suffix":""},{"dropping-particle":"","family":"Saxena","given":"M","non-dropping-particle":"","parse-names":false,"suffix":""},{"dropping-particle":"","family":"Chaudhari","given":"P","non-dropping-particle":"","parse-names":false,"suffix":""},{"dropping-particle":"","family":"Agrawal","given":"C G","non-dropping-particle":"","parse-names":false,"suffix":""},{"dropping-particle":"","family":"Banerjee","given":"M","non-dropping-particle":"","parse-names":false,"suffix":""}],"container-title":"Journal of postgraduate medicine","id":"ITEM-1","issue":"3","issued":{"date-parts":[["2010"]]},"page":"176-81","publisher":"Medknow Publications and Media Pvt. Ltd.","title":"Association of glutathione S-transferase (GSTM1, T1 and P1) gene polymorphisms with type 2 diabetes mellitus in north Indian population.","type":"article-journal","volume":"56"},"uris":["http://www.mendeley.com/documents/?uuid=918bf901-7302-368e-bf2c-684441dd5bce"]}],"mendeley":{"formattedCitation":"(7)","plainTextFormattedCitation":"(7)","previouslyFormattedCitation":"(7)"},"properties":{"noteIndex":0},"schema":"https://github.com/citation-style-language/schema/raw/master/csl-citation.json"}</w:instrText>
      </w:r>
      <w:r w:rsidR="00002CE0" w:rsidRPr="005F63D1">
        <w:rPr>
          <w:rFonts w:ascii="Charter" w:hAnsi="Charter"/>
        </w:rPr>
        <w:fldChar w:fldCharType="separate"/>
      </w:r>
      <w:r w:rsidR="00732751" w:rsidRPr="005F63D1">
        <w:rPr>
          <w:rFonts w:ascii="Charter" w:hAnsi="Charter"/>
          <w:noProof/>
        </w:rPr>
        <w:t>(7)</w:t>
      </w:r>
      <w:r w:rsidR="00002CE0" w:rsidRPr="005F63D1">
        <w:rPr>
          <w:rFonts w:ascii="Charter" w:hAnsi="Charter"/>
        </w:rPr>
        <w:fldChar w:fldCharType="end"/>
      </w:r>
      <w:r w:rsidRPr="005F63D1">
        <w:rPr>
          <w:rFonts w:ascii="Charter" w:hAnsi="Charter"/>
        </w:rPr>
        <w:t>T1 wild type genotype as a risk factor for the development of T1DM, with the T1 wild type allele being a predictive or risk factor for T1DM</w:t>
      </w:r>
      <w:r w:rsidR="00002CE0" w:rsidRPr="005F63D1">
        <w:rPr>
          <w:rFonts w:ascii="Charter" w:hAnsi="Charter"/>
        </w:rPr>
        <w:fldChar w:fldCharType="begin" w:fldLock="1"/>
      </w:r>
      <w:r w:rsidR="00976565" w:rsidRPr="005F63D1">
        <w:rPr>
          <w:rFonts w:ascii="Charter" w:hAnsi="Charter"/>
        </w:rPr>
        <w:instrText>ADDIN CSL_CITATION {"citationItems":[{"id":"ITEM-1","itemData":{"DOI":"10.1016/j.jdiacomp.2012.07.002","ISSN":"10568727","PMID":"23021798","abstract":"Glutathione S-transferase (GST), as antioxidant enzyme, protects tissue from oxidative damage typical for many pathologic conditions as type 1 diabetes (T1D) and its chronic complications. The aim of the study was to compare the prevalence of GST T1/M1 gene polymorphisms between diabetic adolescents with (CAN+) and without (CAN-) cardiovascular autonomic neuropathy. Forty-six subjects with T1D at the age 15-19 years were enrolled. CAN was diagnosed in 19 patients (41.3%) based on standard cardiovascular tests. GST M1 null genotype was more prevalent in CAN+subjects but this was not statistically significant (OR=1.889, 0.61-6.55, p&gt;0.05). GST T1 wild genotype nearly 5-fold increased the risk of CAN (OR=4.952, 1.13-21.739, p&lt;0.05). Regarding genotype combination, GST T1/M1 wild/null genotype was significantly more frequent in CAN+compared to the CAN- subjects (OR=3.96, 1.024-15.302, p&lt;0.05). No significant difference was found in any biochemical parameters between CAN+and CAN- subgroups. Multivariable logistic regression showed that none of the biochemical parameters estimated was considered a risk factor for CAN, however GST T1 wild and GST T1/M1 wild/null represented a risk factor for CAN development (OR=2.227, 1.079-4.587, p&lt;0.05 and OR=1.990, 1.026-3.859, p&lt;0.05, respectively). GST T1 wild allele and GST T1/M1 wild/null genotype can be considered as risk factors for CAN in Slovak adolescents with T1D.","author":[{"dropping-particle":"","family":"Vojtková","given":"Jarmila","non-dropping-particle":"","parse-names":false,"suffix":""},{"dropping-particle":"","family":"Ďurdík","given":"Peter","non-dropping-particle":"","parse-names":false,"suffix":""},{"dropping-particle":"","family":"Čiljaková","given":"Miriam","non-dropping-particle":"","parse-names":false,"suffix":""},{"dropping-particle":"","family":"Michnová","given":"Zuzana","non-dropping-particle":"","parse-names":false,"suffix":""},{"dropping-particle":"","family":"Turčan","given":"Tomáš","non-dropping-particle":"","parse-names":false,"suffix":""},{"dropping-particle":"","family":"Babušíková","given":"Eva","non-dropping-particle":"","parse-names":false,"suffix":""}],"container-title":"Journal of Diabetes and its Complications","id":"ITEM-1","issue":"1","issued":{"date-parts":[["2013","1"]]},"page":"44-48","title":"The association between glutathione S-transferase T1 and M1 gene polymorphisms and cardiovascular autonomic neuropathy in Slovak adolescents with type 1 diabetes mellitus","type":"article-journal","volume":"27"},"uris":["http://www.mendeley.com/documents/?uuid=3a56f570-6c03-3225-875e-87baa1cc81d9"]}],"mendeley":{"formattedCitation":"(8)","plainTextFormattedCitation":"(8)","previouslyFormattedCitation":"(8)"},"properties":{"noteIndex":0},"schema":"https://github.com/citation-style-language/schema/raw/master/csl-citation.json"}</w:instrText>
      </w:r>
      <w:r w:rsidR="00002CE0" w:rsidRPr="005F63D1">
        <w:rPr>
          <w:rFonts w:ascii="Charter" w:hAnsi="Charter"/>
        </w:rPr>
        <w:fldChar w:fldCharType="separate"/>
      </w:r>
      <w:r w:rsidR="00732751" w:rsidRPr="005F63D1">
        <w:rPr>
          <w:rFonts w:ascii="Charter" w:hAnsi="Charter"/>
          <w:noProof/>
        </w:rPr>
        <w:t>(8)</w:t>
      </w:r>
      <w:r w:rsidR="00002CE0" w:rsidRPr="005F63D1">
        <w:rPr>
          <w:rFonts w:ascii="Charter" w:hAnsi="Charter"/>
        </w:rPr>
        <w:fldChar w:fldCharType="end"/>
      </w:r>
      <w:r w:rsidRPr="005F63D1">
        <w:rPr>
          <w:rFonts w:ascii="Charter" w:hAnsi="Charter"/>
        </w:rPr>
        <w:t xml:space="preserve">. </w:t>
      </w:r>
      <w:r w:rsidR="00002CE0" w:rsidRPr="005F63D1">
        <w:rPr>
          <w:rFonts w:ascii="Charter" w:hAnsi="Charter"/>
        </w:rPr>
        <w:t xml:space="preserve">These findings go against some studies stating that the GSTT1 </w:t>
      </w:r>
      <w:r w:rsidR="00002CE0" w:rsidRPr="005F63D1">
        <w:rPr>
          <w:rFonts w:ascii="Charter" w:hAnsi="Charter"/>
        </w:rPr>
        <w:lastRenderedPageBreak/>
        <w:t xml:space="preserve">deletion is more frequent in type 1 diabetic patients </w:t>
      </w:r>
      <w:r w:rsidR="00002CE0" w:rsidRPr="005F63D1">
        <w:rPr>
          <w:rFonts w:ascii="Charter" w:hAnsi="Charter"/>
        </w:rPr>
        <w:fldChar w:fldCharType="begin" w:fldLock="1"/>
      </w:r>
      <w:r w:rsidR="00976565" w:rsidRPr="005F63D1">
        <w:rPr>
          <w:rFonts w:ascii="Charter" w:hAnsi="Charter"/>
        </w:rPr>
        <w:instrText>ADDIN CSL_CITATION {"citationItems":[{"id":"ITEM-1","itemData":{"DOI":"10.4274/jcrpe.3690","ISSN":"13085727","PMID":"27908841","abstract":"OBJECTIVE Oxidative stress plays an important role in the pathogenesis of type 1 diabetes mellitus (T1DM). To evaluate the association of glutathione S-transferase mu 1 (GST M1) and glutathione S-transferase theta 1 (GST T1) polymorphisms with development of T1DM and disease-related risk factors. METHODS Measurement of fasting glucose, serum creatinine, lipid profile, and glycosylated hemoglobin (HbA1c), as well as evaluation of GST T1 and M1 genetic polymorphisms using polymerase chain reaction were done in 64 diabetic children and 41 controls. RESULTS The diabetic group had significantly higher fasting glucose, HbA1c, and cholesterol levels. GST T1 null genotype was more frequent in the diabetic than the control group with 4.2-fold increased risk of T1DM (odds ratio=4.2; 95% confidence interval=1.6-11.5; p=0.03). Significant positive associations were found with lipid profile, HbA1c, and duration of illness but not with age, age at onset, and body mass index. CONCLUSION Gene polymorphisms of the enzyme GST are associated with development of T1DM and disease-related risk factors.","author":[{"dropping-particle":"","family":"Barseem","given":"Naglaa","non-dropping-particle":"","parse-names":false,"suffix":""},{"dropping-particle":"","family":"Elsamalehy","given":"Mona","non-dropping-particle":"","parse-names":false,"suffix":""}],"container-title":"Journal of Clinical Research in Pediatric Endocrinology","id":"ITEM-1","issue":"2","issued":{"date-parts":[["2017","6","1"]]},"page":"138-143","title":"Gene Polymorphisms of Glutathione S-Transferase T1/M1 in Egyptian Children and Adolescents with Type 1 Diabetes Mellitus","type":"article-journal","volume":"9"},"uris":["http://www.mendeley.com/documents/?uuid=d9bf67f8-6b59-374d-83e2-7fd1676fae0b"]},{"id":"ITEM-2","itemData":{"ISSN":"1210-7778","PMID":"24053064","abstract":"BACKGROUND Considering a dramatic increase in the incidence of type 1 diabetes (T1D) worldwide, current research focuses on complex etiology of T1D where immune system, environmental and genetic factors play a significant role. Glutathione S-transferase family of enzymes protects tissue from oxidative damage which is discussed in the context of T1D. The aim of the study was to investigate an association of glutathione S-transferase mu 1 (GST M1) and glutathione S-transferase theta 1 (GST T1) polymorphisms with type 1 diabetes. METHODS 163 children, 116 with type 1 diabetes and 47 healthy controls, at the age 6-19 years were enrolled to the study. Basic anthropometric, biochemical parameters and GST T1 diabetes and M1 polymorphisms were established in each subject. RESULTS Subjects with T1D had significantly lower concentration of uric acid compared to the healthy subjects (212.85 +/- 57.10 micromol/l vs. 269.57 +/- 72.53; p &lt; 0.001). GST T1 null genotype was more frequent in patients with diabetes compared to the healthy controls (36.2% vs. 21.3%) and represented 2.1-fold increased risk of T1D of borderline statistical significance (OR = 2.1; 95% Cl = 0.949-4.648; p = 0.06). GST T1 null/M1 wild genotype combination was more frequent in patients with diabetes (25.9% vs. 10.6%) and represented 2.9-fold increased risk for T1D development (OR = 2.93; 95% CI = 1.061-8.095; p = 0.032). CONCLUSION The study indicates that GST T1 null genotype and GST T1 null/M1 wild combination could be considered a risk factor for type 1 diabetes development in Slovak children and adolescents.","author":[{"dropping-particle":"","family":"Vojtková","given":"Jarmila","non-dropping-particle":"","parse-names":false,"suffix":""},{"dropping-particle":"","family":"Durdík","given":"Peter","non-dropping-particle":"","parse-names":false,"suffix":""},{"dropping-particle":"","family":"Ciljaková","given":"Miriam","non-dropping-particle":"","parse-names":false,"suffix":""},{"dropping-particle":"","family":"Michnová","given":"Zuzana","non-dropping-particle":"","parse-names":false,"suffix":""},{"dropping-particle":"","family":"Turcan","given":"Tomás","non-dropping-particle":"","parse-names":false,"suffix":""},{"dropping-particle":"","family":"Babusíková","given":"Eva","non-dropping-particle":"","parse-names":false,"suffix":""}],"container-title":"Central European journal of public health","id":"ITEM-2","issue":"2","issued":{"date-parts":[["2013","6"]]},"page":"88-91","title":"The association between gene polymorphisms of glutathione S-transferase T1/M1 and type 1 diabetes in Slovak children and adolescents.","type":"article-journal","volume":"21"},"uris":["http://www.mendeley.com/documents/?uuid=05504a27-c309-3b13-a37f-e4a4d988c1e2"]}],"mendeley":{"formattedCitation":"(9,10)","plainTextFormattedCitation":"(9,10)","previouslyFormattedCitation":"(9,10)"},"properties":{"noteIndex":0},"schema":"https://github.com/citation-style-language/schema/raw/master/csl-citation.json"}</w:instrText>
      </w:r>
      <w:r w:rsidR="00002CE0" w:rsidRPr="005F63D1">
        <w:rPr>
          <w:rFonts w:ascii="Charter" w:hAnsi="Charter"/>
        </w:rPr>
        <w:fldChar w:fldCharType="separate"/>
      </w:r>
      <w:r w:rsidR="00732751" w:rsidRPr="005F63D1">
        <w:rPr>
          <w:rFonts w:ascii="Charter" w:hAnsi="Charter"/>
          <w:noProof/>
        </w:rPr>
        <w:t>(9,10)</w:t>
      </w:r>
      <w:r w:rsidR="00002CE0" w:rsidRPr="005F63D1">
        <w:rPr>
          <w:rFonts w:ascii="Charter" w:hAnsi="Charter"/>
        </w:rPr>
        <w:fldChar w:fldCharType="end"/>
      </w:r>
      <w:r w:rsidR="00002CE0" w:rsidRPr="005F63D1">
        <w:rPr>
          <w:rFonts w:ascii="Charter" w:hAnsi="Charter"/>
        </w:rPr>
        <w:t xml:space="preserve"> and that the GSTM1 null genotype is a protection factor for Type 1 Diabetes</w:t>
      </w:r>
      <w:r w:rsidR="00002CE0" w:rsidRPr="005F63D1">
        <w:rPr>
          <w:rFonts w:ascii="Charter" w:hAnsi="Charter"/>
        </w:rPr>
        <w:fldChar w:fldCharType="begin" w:fldLock="1"/>
      </w:r>
      <w:r w:rsidR="00732751" w:rsidRPr="005F63D1">
        <w:rPr>
          <w:rFonts w:ascii="Charter" w:hAnsi="Charter"/>
        </w:rPr>
        <w:instrText>ADDIN CSL_CITATION {"citationItems":[{"id":"ITEM-1","itemData":{"DOI":"10.1080/08916930500407238","ISSN":"0891-6934","PMID":"16390810","abstract":"Type 1 diabetes (T1D) is an autoimmune disease characterized by pancreatic beta cell destruction involving auto-reactive T-cells, pro-inflammatory cytokines, reactive oxygen species (ROS) and loss of insulin. Monozygotic twin studies show a 20-60% concordance with T1D indicating there may be an environmental component to the disease. Glutathione (GSH) is the major endogenous antioxidant produced by the cell. GSH participates directly in the neutralization of free radicals and plays a role in the immune response. Glutathione-s-transferases (GSTs) conjugate GSH to free-radicals or xenobiotics. GST activity depletes GSH levels and may either detoxify or enhance the toxicity of a compound. Glutathione-s-transferase mu 1 (GSTM1) and glutathione-s-transferase theta 1 (GSTT1) have polymorphic homozygous deletion (null) genotypes resulting in complete absence of enzyme activity. GSTM1 and GSTT1 null genotypes in Caucasian populations have frequencies of approximately 40-60% and 15-20%, respectively. GST null genotypes have been associated with susceptibility to cancer and protection against chronic pancreatitis. The aim of this study was to investigate associations with GSTM1 and GSTT1 polymorphisms in a group T1D patients and control subjects 0-35 years old who participated in the Combined Swedish Childhood Diabetes Registry and Diabetes Incidence Study (1986-1988). Results show that the presence of the GSTM1 and not the null genotype (OR, 2.13 95% CI, 1.23-3.70, p-value, 0.007, Bonferroni corrected p-value, 0.035) may be a susceptibility factor in T1D 14-20 years old. These results suggest that the GSTM1 null genotype is associated with T1D protection and T1D age-at-onset and that susceptibility to T1D may involve GST conjugation.","author":[{"dropping-particle":"","family":"Bekris","given":"Lynn M.","non-dropping-particle":"","parse-names":false,"suffix":""},{"dropping-particle":"","family":"Shephard","given":"Cindy","non-dropping-particle":"","parse-names":false,"suffix":""},{"dropping-particle":"","family":"Peterson","given":"Morgan","non-dropping-particle":"","parse-names":false,"suffix":""},{"dropping-particle":"","family":"Hoehna","given":"Jana","non-dropping-particle":"","parse-names":false,"suffix":""},{"dropping-particle":"Van","family":"Yserloo","given":"Brian","non-dropping-particle":"","parse-names":false,"suffix":""},{"dropping-particle":"","family":"Rutledge","given":"Elizabeth","non-dropping-particle":"","parse-names":false,"suffix":""},{"dropping-particle":"","family":"Farin","given":"Federico","non-dropping-particle":"","parse-names":false,"suffix":""},{"dropping-particle":"","family":"Kavanagh","given":"Terrance J.","non-dropping-particle":"","parse-names":false,"suffix":""},{"dropping-particle":"","family":"Lernmark","given":"Ake","non-dropping-particle":"","parse-names":false,"suffix":""}],"container-title":"Autoimmunity","id":"ITEM-1","issue":"8","issued":{"date-parts":[["2005","1","7"]]},"page":"567-575","title":"Glutathione-s-transferase M1 and T1 polymorphisms and associations with type 1 diabetes age-at-onset","type":"article-journal","volume":"38"},"uris":["http://www.mendeley.com/documents/?uuid=d5825d98-4a47-37e2-95cd-fd11f4197135"]}],"mendeley":{"formattedCitation":"(1)","plainTextFormattedCitation":"(1)","previouslyFormattedCitation":"(1)"},"properties":{"noteIndex":0},"schema":"https://github.com/citation-style-language/schema/raw/master/csl-citation.json"}</w:instrText>
      </w:r>
      <w:r w:rsidR="00002CE0" w:rsidRPr="005F63D1">
        <w:rPr>
          <w:rFonts w:ascii="Charter" w:hAnsi="Charter"/>
        </w:rPr>
        <w:fldChar w:fldCharType="separate"/>
      </w:r>
      <w:r w:rsidR="00002CE0" w:rsidRPr="005F63D1">
        <w:rPr>
          <w:rFonts w:ascii="Charter" w:hAnsi="Charter"/>
          <w:noProof/>
        </w:rPr>
        <w:t>(1)</w:t>
      </w:r>
      <w:r w:rsidR="00002CE0" w:rsidRPr="005F63D1">
        <w:rPr>
          <w:rFonts w:ascii="Charter" w:hAnsi="Charter"/>
        </w:rPr>
        <w:fldChar w:fldCharType="end"/>
      </w:r>
      <w:r w:rsidR="00260D0E" w:rsidRPr="005F63D1">
        <w:rPr>
          <w:rFonts w:ascii="Charter" w:hAnsi="Charter"/>
        </w:rPr>
        <w:t>.</w:t>
      </w:r>
    </w:p>
    <w:p w14:paraId="3B3E28AE" w14:textId="5AAB7234" w:rsidR="00260D0E" w:rsidRPr="005F63D1" w:rsidRDefault="00260D0E">
      <w:pPr>
        <w:pStyle w:val="Body"/>
        <w:jc w:val="both"/>
        <w:rPr>
          <w:rFonts w:ascii="Charter" w:hAnsi="Charter"/>
        </w:rPr>
      </w:pPr>
    </w:p>
    <w:p w14:paraId="7E490A4E" w14:textId="4CE183F0" w:rsidR="00260D0E" w:rsidRPr="005F63D1" w:rsidRDefault="00260D0E">
      <w:pPr>
        <w:pStyle w:val="Body"/>
        <w:jc w:val="both"/>
        <w:rPr>
          <w:rFonts w:ascii="Charter" w:hAnsi="Charter"/>
        </w:rPr>
      </w:pPr>
      <w:r w:rsidRPr="005F63D1">
        <w:rPr>
          <w:rFonts w:ascii="Charter" w:hAnsi="Charter"/>
        </w:rPr>
        <w:t>For the TNFα polymorphism, the GG genotype and G allele seem to offer a minor protective effect towards type 1 diabetes,</w:t>
      </w:r>
      <w:r w:rsidR="00E77508" w:rsidRPr="005F63D1">
        <w:rPr>
          <w:rFonts w:ascii="Charter" w:hAnsi="Charter"/>
        </w:rPr>
        <w:t xml:space="preserve"> which is contrary to the data presented by literature</w:t>
      </w:r>
      <w:r w:rsidR="00976565" w:rsidRPr="005F63D1">
        <w:rPr>
          <w:rFonts w:ascii="Charter" w:hAnsi="Charter"/>
        </w:rPr>
        <w:fldChar w:fldCharType="begin" w:fldLock="1"/>
      </w:r>
      <w:r w:rsidR="005F63D1" w:rsidRPr="005F63D1">
        <w:rPr>
          <w:rFonts w:ascii="Charter" w:hAnsi="Charter"/>
        </w:rPr>
        <w:instrText>ADDIN CSL_CITATION {"citationItems":[{"id":"ITEM-1","itemData":{"DOI":"10.1080/08820139.2017.1416398","ISSN":"0882-0139","PMID":"29257900","abstract":"BACKGROUND Association studies of genes encoding cytokines that play an important role in inflammatory response represent one approach to finding type 1 diabetes (T1D) disease genes. The aim of this study was to investigate the association of single nucleotide polymorphisms (SNPs) within cytokine genes with T1D in a cohort of Saudi subjects. METHODS A total of 300 well-characterized type 1 diabetic patients and 300 T1D-free control subjects were enrolled in this investigation. Cytokine SNPs were genotyped by using Polymerase chain reaction (PCR) with sequence-specific primers. RESULTS Our data revealed that IFN-γ +874T allele carriers [odds ratio (OR) = 1.87, p &lt; 0.001] and TT homozygotes (OR = 1.28, p &lt; 0.001) were significantly more susceptible to developing T1D than the A allele carriers. In addition, TNF-α -308A allele carriers (OR = 1.73, p &lt; 0.001) and AA homozygotes (OR = 1.74, p &lt; 0.001) were also overrepresented among the diabetics than G allele carriers. IL-4 -590C/T TT homozygotes (OR = 2.23, p &lt; 0.001) were significantly more susceptible to develop T1D than CC genotypes, whereas CT heterozygotes were not significantly associated (OR = 1.43, p = 0.78) with T1D. Furthermore, IL-4 T allele was statistically associated with T1D patients compared to control group (OR = 2.24, p &lt; 0.001). Similarly, IL-1β -511C/T TT homozygotes (OR = 1.85, p = 0.012) and the T allele (OR = 1.85, p &lt; 0.001) were significantly more susceptible to T1D than CC genotypes, whereas TC heterozygotes (OR = 1.04, p = 0.86) were not significantly associated with T1D. CONCLUSION Our data concluded that IFN-γ +874T allele, TNF-α -308A allele, IL-1β -511T allele, and IL-4 -590T allele could be considered risk factors for T1D development in Saudi subjects.","author":[{"dropping-particle":"","family":"Allam","given":"Gamal","non-dropping-particle":"","parse-names":false,"suffix":""},{"dropping-particle":"","family":"Nasr","given":"Amre","non-dropping-particle":"","parse-names":false,"suffix":""},{"dropping-particle":"","family":"Talaat","given":"Iman M.","non-dropping-particle":"","parse-names":false,"suffix":""},{"dropping-particle":"","family":"Abuelsaad","given":"Abdelaziz S. A.","non-dropping-particle":"","parse-names":false,"suffix":""},{"dropping-particle":"","family":"Bakheit","given":"Ali M.","non-dropping-particle":"","parse-names":false,"suffix":""},{"dropping-particle":"","family":"Nemenqani","given":"Dalal","non-dropping-particle":"","parse-names":false,"suffix":""},{"dropping-particle":"","family":"Alsulaimani","given":"Adnan A.","non-dropping-particle":"","parse-names":false,"suffix":""}],"container-title":"Immunological Investigations","id":"ITEM-1","issue":"3","issued":{"date-parts":[["2018","4","3"]]},"page":"229-240","title":"Association between cytokine genes polymorphisms and type 1 diabetes: a case-control study on Saudi population","type":"article-journal","volume":"47"},"uris":["http://www.mendeley.com/documents/?uuid=f211183f-5ae9-3035-8304-13909fbe4473"]}],"mendeley":{"formattedCitation":"(11)","plainTextFormattedCitation":"(11)","previouslyFormattedCitation":"(11)"},"properties":{"noteIndex":0},"schema":"https://github.com/citation-style-language/schema/raw/master/csl-citation.json"}</w:instrText>
      </w:r>
      <w:r w:rsidR="00976565" w:rsidRPr="005F63D1">
        <w:rPr>
          <w:rFonts w:ascii="Charter" w:hAnsi="Charter"/>
        </w:rPr>
        <w:fldChar w:fldCharType="separate"/>
      </w:r>
      <w:r w:rsidR="00976565" w:rsidRPr="005F63D1">
        <w:rPr>
          <w:rFonts w:ascii="Charter" w:hAnsi="Charter"/>
          <w:noProof/>
        </w:rPr>
        <w:t>(11)</w:t>
      </w:r>
      <w:r w:rsidR="00976565" w:rsidRPr="005F63D1">
        <w:rPr>
          <w:rFonts w:ascii="Charter" w:hAnsi="Charter"/>
        </w:rPr>
        <w:fldChar w:fldCharType="end"/>
      </w:r>
      <w:r w:rsidR="00976565" w:rsidRPr="005F63D1">
        <w:rPr>
          <w:rFonts w:ascii="Charter" w:hAnsi="Charter"/>
        </w:rPr>
        <w:t xml:space="preserve">. </w:t>
      </w:r>
    </w:p>
    <w:p w14:paraId="7443AB1F" w14:textId="6308ADFC" w:rsidR="00976565" w:rsidRPr="005F63D1" w:rsidRDefault="00976565">
      <w:pPr>
        <w:pStyle w:val="Body"/>
        <w:jc w:val="both"/>
        <w:rPr>
          <w:rFonts w:ascii="Charter" w:hAnsi="Charter"/>
        </w:rPr>
      </w:pPr>
    </w:p>
    <w:p w14:paraId="5F0781C6" w14:textId="1AAB29EB" w:rsidR="00976565" w:rsidRPr="005F63D1" w:rsidRDefault="0003444C">
      <w:pPr>
        <w:pStyle w:val="Body"/>
        <w:jc w:val="both"/>
        <w:rPr>
          <w:rFonts w:ascii="Charter" w:hAnsi="Charter"/>
        </w:rPr>
      </w:pPr>
      <w:r w:rsidRPr="005F63D1">
        <w:rPr>
          <w:rFonts w:ascii="Charter" w:hAnsi="Charter"/>
        </w:rPr>
        <w:t xml:space="preserve">The present study has a number of weak spots, from the limited information regarding the control group, to the technique for genotyping glutathione S </w:t>
      </w:r>
      <w:proofErr w:type="spellStart"/>
      <w:r w:rsidRPr="005F63D1">
        <w:rPr>
          <w:rFonts w:ascii="Charter" w:hAnsi="Charter"/>
        </w:rPr>
        <w:t>transferase</w:t>
      </w:r>
      <w:proofErr w:type="spellEnd"/>
      <w:r w:rsidRPr="005F63D1">
        <w:rPr>
          <w:rFonts w:ascii="Charter" w:hAnsi="Charter"/>
        </w:rPr>
        <w:t xml:space="preserve"> </w:t>
      </w:r>
      <w:proofErr w:type="spellStart"/>
      <w:r w:rsidRPr="005F63D1">
        <w:rPr>
          <w:rFonts w:ascii="Charter" w:hAnsi="Charter"/>
        </w:rPr>
        <w:t>isoformes</w:t>
      </w:r>
      <w:proofErr w:type="spellEnd"/>
      <w:r w:rsidRPr="005F63D1">
        <w:rPr>
          <w:rFonts w:ascii="Charter" w:hAnsi="Charter"/>
        </w:rPr>
        <w:t xml:space="preserve">. This technique(Multiplex PCR) is fast, reliable and cost effective, however it offers data regarding the absence or presence of a certain isoform-it cannot detect a heterozygous mutation for a particular isoform. </w:t>
      </w:r>
    </w:p>
    <w:p w14:paraId="3373EAF9" w14:textId="3A72E030" w:rsidR="0003444C" w:rsidRPr="005F63D1" w:rsidRDefault="0003444C">
      <w:pPr>
        <w:pStyle w:val="Body"/>
        <w:jc w:val="both"/>
        <w:rPr>
          <w:rFonts w:ascii="Charter" w:hAnsi="Charter"/>
        </w:rPr>
      </w:pPr>
      <w:r w:rsidRPr="005F63D1">
        <w:rPr>
          <w:rFonts w:ascii="Charter" w:hAnsi="Charter"/>
        </w:rPr>
        <w:t xml:space="preserve">This, alongside regional differences, may justify the discrepancy between data in literature and the results of our study. </w:t>
      </w:r>
    </w:p>
    <w:p w14:paraId="640F54F2" w14:textId="3B3ABB01" w:rsidR="0003444C" w:rsidRPr="005F63D1" w:rsidRDefault="0003444C">
      <w:pPr>
        <w:pStyle w:val="Body"/>
        <w:jc w:val="both"/>
        <w:rPr>
          <w:rFonts w:ascii="Charter" w:hAnsi="Charter"/>
        </w:rPr>
      </w:pPr>
    </w:p>
    <w:p w14:paraId="5724EF34" w14:textId="406A1662" w:rsidR="0003444C" w:rsidRDefault="0003444C">
      <w:pPr>
        <w:pStyle w:val="Body"/>
        <w:jc w:val="both"/>
        <w:rPr>
          <w:rFonts w:ascii="Charter" w:hAnsi="Charter"/>
          <w:b/>
        </w:rPr>
      </w:pPr>
      <w:r w:rsidRPr="00C8017A">
        <w:rPr>
          <w:rFonts w:ascii="Charter" w:hAnsi="Charter"/>
          <w:b/>
        </w:rPr>
        <w:t>Conclusion</w:t>
      </w:r>
    </w:p>
    <w:p w14:paraId="40E97E4D" w14:textId="77777777" w:rsidR="00C8017A" w:rsidRPr="00C8017A" w:rsidRDefault="00C8017A">
      <w:pPr>
        <w:pStyle w:val="Body"/>
        <w:jc w:val="both"/>
        <w:rPr>
          <w:rFonts w:ascii="Charter" w:hAnsi="Charter"/>
          <w:b/>
        </w:rPr>
      </w:pPr>
    </w:p>
    <w:p w14:paraId="5C74515F" w14:textId="5EA60118" w:rsidR="0003444C" w:rsidRPr="005F63D1" w:rsidRDefault="0003444C">
      <w:pPr>
        <w:pStyle w:val="Body"/>
        <w:jc w:val="both"/>
        <w:rPr>
          <w:rFonts w:ascii="Charter" w:hAnsi="Charter"/>
        </w:rPr>
      </w:pPr>
      <w:r w:rsidRPr="005F63D1">
        <w:rPr>
          <w:rFonts w:ascii="Charter" w:hAnsi="Charter"/>
        </w:rPr>
        <w:t>The G allele of AdipoQ as well as the G allele of TNFα seem to exhibit a protective effect on the development of type 1 diabetes. The T1 wild type isoform of GST, as well as the M1 null T1 present genotype are a risk factor for the development of type 1 diabetes in our population.</w:t>
      </w:r>
    </w:p>
    <w:p w14:paraId="06AAEF64" w14:textId="13472522" w:rsidR="00A24ACC" w:rsidRPr="005F63D1" w:rsidRDefault="00A24ACC">
      <w:pPr>
        <w:pStyle w:val="Body"/>
        <w:jc w:val="both"/>
        <w:rPr>
          <w:rFonts w:ascii="Charter" w:hAnsi="Charter"/>
        </w:rPr>
      </w:pPr>
    </w:p>
    <w:p w14:paraId="2B684DD6" w14:textId="589F1B80" w:rsidR="008233DE" w:rsidRDefault="005F63D1">
      <w:pPr>
        <w:pStyle w:val="Body"/>
        <w:jc w:val="both"/>
        <w:rPr>
          <w:rFonts w:ascii="Charter" w:hAnsi="Charter"/>
          <w:b/>
        </w:rPr>
      </w:pPr>
      <w:r w:rsidRPr="00C8017A">
        <w:rPr>
          <w:rFonts w:ascii="Charter" w:hAnsi="Charter"/>
          <w:b/>
        </w:rPr>
        <w:t>References</w:t>
      </w:r>
    </w:p>
    <w:p w14:paraId="6AEEDAEF" w14:textId="77777777" w:rsidR="00C8017A" w:rsidRPr="00C8017A" w:rsidRDefault="00C8017A">
      <w:pPr>
        <w:pStyle w:val="Body"/>
        <w:jc w:val="both"/>
        <w:rPr>
          <w:rFonts w:ascii="Charter" w:hAnsi="Charter"/>
          <w:b/>
        </w:rPr>
      </w:pPr>
    </w:p>
    <w:p w14:paraId="378A7DFB" w14:textId="261FB876" w:rsidR="005F63D1" w:rsidRPr="005F63D1" w:rsidRDefault="005F63D1" w:rsidP="005F63D1">
      <w:pPr>
        <w:widowControl w:val="0"/>
        <w:autoSpaceDE w:val="0"/>
        <w:autoSpaceDN w:val="0"/>
        <w:adjustRightInd w:val="0"/>
        <w:ind w:left="640" w:hanging="640"/>
        <w:rPr>
          <w:rFonts w:ascii="Charter" w:hAnsi="Charter"/>
          <w:noProof/>
          <w:sz w:val="22"/>
        </w:rPr>
      </w:pPr>
      <w:r w:rsidRPr="005F63D1">
        <w:rPr>
          <w:rFonts w:ascii="Charter" w:hAnsi="Charter"/>
        </w:rPr>
        <w:fldChar w:fldCharType="begin" w:fldLock="1"/>
      </w:r>
      <w:r w:rsidRPr="005F63D1">
        <w:rPr>
          <w:rFonts w:ascii="Charter" w:hAnsi="Charter"/>
        </w:rPr>
        <w:instrText xml:space="preserve">ADDIN Mendeley Bibliography CSL_BIBLIOGRAPHY </w:instrText>
      </w:r>
      <w:r w:rsidRPr="005F63D1">
        <w:rPr>
          <w:rFonts w:ascii="Charter" w:hAnsi="Charter"/>
        </w:rPr>
        <w:fldChar w:fldCharType="separate"/>
      </w:r>
      <w:r w:rsidRPr="005F63D1">
        <w:rPr>
          <w:rFonts w:ascii="Charter" w:hAnsi="Charter"/>
          <w:noProof/>
          <w:sz w:val="22"/>
        </w:rPr>
        <w:t xml:space="preserve">1. </w:t>
      </w:r>
      <w:r w:rsidRPr="005F63D1">
        <w:rPr>
          <w:rFonts w:ascii="Charter" w:hAnsi="Charter"/>
          <w:noProof/>
          <w:sz w:val="22"/>
        </w:rPr>
        <w:tab/>
        <w:t xml:space="preserve">Bekris LM, Shephard C, Peterson M, Hoehna J, Yserloo B Van, Rutledge E, et al. Glutathione-s-transferase M1 and T1 polymorphisms and associations with type 1 diabetes age-at-onset. Autoimmunity. 2005 Jan 7;38(8):567–75. </w:t>
      </w:r>
    </w:p>
    <w:p w14:paraId="570FC978" w14:textId="77777777" w:rsidR="005F63D1" w:rsidRPr="005F63D1" w:rsidRDefault="005F63D1" w:rsidP="005F63D1">
      <w:pPr>
        <w:widowControl w:val="0"/>
        <w:autoSpaceDE w:val="0"/>
        <w:autoSpaceDN w:val="0"/>
        <w:adjustRightInd w:val="0"/>
        <w:ind w:left="640" w:hanging="640"/>
        <w:rPr>
          <w:rFonts w:ascii="Charter" w:hAnsi="Charter"/>
          <w:noProof/>
          <w:sz w:val="22"/>
        </w:rPr>
      </w:pPr>
      <w:r w:rsidRPr="005F63D1">
        <w:rPr>
          <w:rFonts w:ascii="Charter" w:hAnsi="Charter"/>
          <w:noProof/>
          <w:sz w:val="22"/>
        </w:rPr>
        <w:t xml:space="preserve">2. </w:t>
      </w:r>
      <w:r w:rsidRPr="005F63D1">
        <w:rPr>
          <w:rFonts w:ascii="Charter" w:hAnsi="Charter"/>
          <w:noProof/>
          <w:sz w:val="22"/>
        </w:rPr>
        <w:tab/>
        <w:t xml:space="preserve">Imagawa A, Funahashi T, Nakamura T, Moriwaki M, Tanaka S, Nishizawa H, et al. Elevated serum concentration of adipose-derived factor, adiponectin, in patients with type 1 diabetes. Diabetes Care. 2002 Sep 1;25(9):1665–6. </w:t>
      </w:r>
    </w:p>
    <w:p w14:paraId="13B0DEC8" w14:textId="77777777" w:rsidR="005F63D1" w:rsidRPr="005F63D1" w:rsidRDefault="005F63D1" w:rsidP="005F63D1">
      <w:pPr>
        <w:widowControl w:val="0"/>
        <w:autoSpaceDE w:val="0"/>
        <w:autoSpaceDN w:val="0"/>
        <w:adjustRightInd w:val="0"/>
        <w:ind w:left="640" w:hanging="640"/>
        <w:rPr>
          <w:rFonts w:ascii="Charter" w:hAnsi="Charter"/>
          <w:noProof/>
          <w:sz w:val="22"/>
        </w:rPr>
      </w:pPr>
      <w:r w:rsidRPr="005F63D1">
        <w:rPr>
          <w:rFonts w:ascii="Charter" w:hAnsi="Charter"/>
          <w:noProof/>
          <w:sz w:val="22"/>
        </w:rPr>
        <w:t xml:space="preserve">3. </w:t>
      </w:r>
      <w:r w:rsidRPr="005F63D1">
        <w:rPr>
          <w:rFonts w:ascii="Charter" w:hAnsi="Charter"/>
          <w:noProof/>
          <w:sz w:val="22"/>
        </w:rPr>
        <w:tab/>
        <w:t xml:space="preserve">Zhang D, Efendic S, Brismar K, Gu HF. Effects of MCF2L2, ADIPOQ and SOX2 genetic polymorphisms on the development of nephropathy in type 1 Diabetes Mellitus. BMC Med Genet. 2010 Dec 28;11(1):116. </w:t>
      </w:r>
    </w:p>
    <w:p w14:paraId="035F5E80" w14:textId="77777777" w:rsidR="005F63D1" w:rsidRPr="005F63D1" w:rsidRDefault="005F63D1" w:rsidP="005F63D1">
      <w:pPr>
        <w:widowControl w:val="0"/>
        <w:autoSpaceDE w:val="0"/>
        <w:autoSpaceDN w:val="0"/>
        <w:adjustRightInd w:val="0"/>
        <w:ind w:left="640" w:hanging="640"/>
        <w:rPr>
          <w:rFonts w:ascii="Charter" w:hAnsi="Charter"/>
          <w:noProof/>
          <w:sz w:val="22"/>
        </w:rPr>
      </w:pPr>
      <w:r w:rsidRPr="005F63D1">
        <w:rPr>
          <w:rFonts w:ascii="Charter" w:hAnsi="Charter"/>
          <w:noProof/>
          <w:sz w:val="22"/>
        </w:rPr>
        <w:t xml:space="preserve">4. </w:t>
      </w:r>
      <w:r w:rsidRPr="005F63D1">
        <w:rPr>
          <w:rFonts w:ascii="Charter" w:hAnsi="Charter"/>
          <w:noProof/>
          <w:sz w:val="22"/>
        </w:rPr>
        <w:tab/>
        <w:t xml:space="preserve">Bostrom MA, Freedman BI, Langefeld CD, Liu L, Hicks PJ, Bowden DW, et al. Association of adiponectin gene polymorphisms with type 2 diabetes in an African American population enriched for nephropathy. Diabetes. 2009 Feb 1;58(2):499–504. </w:t>
      </w:r>
    </w:p>
    <w:p w14:paraId="7CB8FEAE" w14:textId="77777777" w:rsidR="005F63D1" w:rsidRPr="005F63D1" w:rsidRDefault="005F63D1" w:rsidP="005F63D1">
      <w:pPr>
        <w:widowControl w:val="0"/>
        <w:autoSpaceDE w:val="0"/>
        <w:autoSpaceDN w:val="0"/>
        <w:adjustRightInd w:val="0"/>
        <w:ind w:left="640" w:hanging="640"/>
        <w:rPr>
          <w:rFonts w:ascii="Charter" w:hAnsi="Charter"/>
          <w:noProof/>
          <w:sz w:val="22"/>
        </w:rPr>
      </w:pPr>
      <w:r w:rsidRPr="005F63D1">
        <w:rPr>
          <w:rFonts w:ascii="Charter" w:hAnsi="Charter"/>
          <w:noProof/>
          <w:sz w:val="22"/>
        </w:rPr>
        <w:t xml:space="preserve">5. </w:t>
      </w:r>
      <w:r w:rsidRPr="005F63D1">
        <w:rPr>
          <w:rFonts w:ascii="Charter" w:hAnsi="Charter"/>
          <w:noProof/>
          <w:sz w:val="22"/>
        </w:rPr>
        <w:tab/>
        <w:t xml:space="preserve">Galler A, Gelbrich G, Kratzsch J, Noack N, Kapellen T, Kiess W. Elevated serum levels of adiponectin in children, adolescents and young adults with type 1 diabetes and the impact of age, gender, body mass index and metabolic control: A longitudinal study. Eur J Endocrinol. 2007;157(4):481–9. </w:t>
      </w:r>
    </w:p>
    <w:p w14:paraId="600F6387" w14:textId="77777777" w:rsidR="005F63D1" w:rsidRPr="005F63D1" w:rsidRDefault="005F63D1" w:rsidP="005F63D1">
      <w:pPr>
        <w:widowControl w:val="0"/>
        <w:autoSpaceDE w:val="0"/>
        <w:autoSpaceDN w:val="0"/>
        <w:adjustRightInd w:val="0"/>
        <w:ind w:left="640" w:hanging="640"/>
        <w:rPr>
          <w:rFonts w:ascii="Charter" w:hAnsi="Charter"/>
          <w:noProof/>
          <w:sz w:val="22"/>
        </w:rPr>
      </w:pPr>
      <w:r w:rsidRPr="005F63D1">
        <w:rPr>
          <w:rFonts w:ascii="Charter" w:hAnsi="Charter"/>
          <w:noProof/>
          <w:sz w:val="22"/>
        </w:rPr>
        <w:t xml:space="preserve">6. </w:t>
      </w:r>
      <w:r w:rsidRPr="005F63D1">
        <w:rPr>
          <w:rFonts w:ascii="Charter" w:hAnsi="Charter"/>
          <w:noProof/>
          <w:sz w:val="22"/>
        </w:rPr>
        <w:tab/>
        <w:t xml:space="preserve">Frystyk J, Tarnow L, Krarup Hansen T, Parving H-H, Flyvbjerg A. Increased serum adiponectin levels in type 1 diabetic patients with microvascular complications. Diabetologia. 2005 Sep 3;48(9):1911–8. </w:t>
      </w:r>
    </w:p>
    <w:p w14:paraId="496A17DF" w14:textId="77777777" w:rsidR="005F63D1" w:rsidRPr="005F63D1" w:rsidRDefault="005F63D1" w:rsidP="005F63D1">
      <w:pPr>
        <w:widowControl w:val="0"/>
        <w:autoSpaceDE w:val="0"/>
        <w:autoSpaceDN w:val="0"/>
        <w:adjustRightInd w:val="0"/>
        <w:ind w:left="640" w:hanging="640"/>
        <w:rPr>
          <w:rFonts w:ascii="Charter" w:hAnsi="Charter"/>
          <w:noProof/>
          <w:sz w:val="22"/>
        </w:rPr>
      </w:pPr>
      <w:r w:rsidRPr="005F63D1">
        <w:rPr>
          <w:rFonts w:ascii="Charter" w:hAnsi="Charter"/>
          <w:noProof/>
          <w:sz w:val="22"/>
        </w:rPr>
        <w:t xml:space="preserve">7. </w:t>
      </w:r>
      <w:r w:rsidRPr="005F63D1">
        <w:rPr>
          <w:rFonts w:ascii="Charter" w:hAnsi="Charter"/>
          <w:noProof/>
          <w:sz w:val="22"/>
        </w:rPr>
        <w:tab/>
        <w:t xml:space="preserve">Bid HK, Konwar R, Saxena M, Chaudhari P, Agrawal CG, Banerjee M. Association of glutathione S-transferase (GSTM1, T1 and P1) gene polymorphisms with type 2 diabetes mellitus in north Indian population. J Postgrad Med. 2010;56(3):176–81. </w:t>
      </w:r>
    </w:p>
    <w:p w14:paraId="06229A16" w14:textId="77777777" w:rsidR="005F63D1" w:rsidRPr="005F63D1" w:rsidRDefault="005F63D1" w:rsidP="005F63D1">
      <w:pPr>
        <w:widowControl w:val="0"/>
        <w:autoSpaceDE w:val="0"/>
        <w:autoSpaceDN w:val="0"/>
        <w:adjustRightInd w:val="0"/>
        <w:ind w:left="640" w:hanging="640"/>
        <w:rPr>
          <w:rFonts w:ascii="Charter" w:hAnsi="Charter"/>
          <w:noProof/>
          <w:sz w:val="22"/>
        </w:rPr>
      </w:pPr>
      <w:r w:rsidRPr="005F63D1">
        <w:rPr>
          <w:rFonts w:ascii="Charter" w:hAnsi="Charter"/>
          <w:noProof/>
          <w:sz w:val="22"/>
        </w:rPr>
        <w:t xml:space="preserve">8. </w:t>
      </w:r>
      <w:r w:rsidRPr="005F63D1">
        <w:rPr>
          <w:rFonts w:ascii="Charter" w:hAnsi="Charter"/>
          <w:noProof/>
          <w:sz w:val="22"/>
        </w:rPr>
        <w:tab/>
        <w:t xml:space="preserve">Vojtková J, Ďurdík P, Čiljaková M, Michnová Z, Turčan T, Babušíková E. The association between glutathione S-transferase T1 and M1 gene polymorphisms and cardiovascular autonomic neuropathy in Slovak adolescents with type 1 diabetes mellitus. J Diabetes Complications. 2013 Jan;27(1):44–8. </w:t>
      </w:r>
    </w:p>
    <w:p w14:paraId="787DE9D2" w14:textId="77777777" w:rsidR="005F63D1" w:rsidRPr="005F63D1" w:rsidRDefault="005F63D1" w:rsidP="005F63D1">
      <w:pPr>
        <w:widowControl w:val="0"/>
        <w:autoSpaceDE w:val="0"/>
        <w:autoSpaceDN w:val="0"/>
        <w:adjustRightInd w:val="0"/>
        <w:ind w:left="640" w:hanging="640"/>
        <w:rPr>
          <w:rFonts w:ascii="Charter" w:hAnsi="Charter"/>
          <w:noProof/>
          <w:sz w:val="22"/>
        </w:rPr>
      </w:pPr>
      <w:r w:rsidRPr="005F63D1">
        <w:rPr>
          <w:rFonts w:ascii="Charter" w:hAnsi="Charter"/>
          <w:noProof/>
          <w:sz w:val="22"/>
        </w:rPr>
        <w:t xml:space="preserve">9. </w:t>
      </w:r>
      <w:r w:rsidRPr="005F63D1">
        <w:rPr>
          <w:rFonts w:ascii="Charter" w:hAnsi="Charter"/>
          <w:noProof/>
          <w:sz w:val="22"/>
        </w:rPr>
        <w:tab/>
        <w:t xml:space="preserve">Barseem N, Elsamalehy M. Gene Polymorphisms of Glutathione S-Transferase T1/M1 in Egyptian Children and Adolescents with Type 1 Diabetes Mellitus. J Clin Res Pediatr Endocrinol. 2017 Jun 1;9(2):138–43. </w:t>
      </w:r>
    </w:p>
    <w:p w14:paraId="11802776" w14:textId="77777777" w:rsidR="005F63D1" w:rsidRPr="005F63D1" w:rsidRDefault="005F63D1" w:rsidP="005F63D1">
      <w:pPr>
        <w:widowControl w:val="0"/>
        <w:autoSpaceDE w:val="0"/>
        <w:autoSpaceDN w:val="0"/>
        <w:adjustRightInd w:val="0"/>
        <w:ind w:left="640" w:hanging="640"/>
        <w:rPr>
          <w:rFonts w:ascii="Charter" w:hAnsi="Charter"/>
          <w:noProof/>
          <w:sz w:val="22"/>
        </w:rPr>
      </w:pPr>
      <w:r w:rsidRPr="005F63D1">
        <w:rPr>
          <w:rFonts w:ascii="Charter" w:hAnsi="Charter"/>
          <w:noProof/>
          <w:sz w:val="22"/>
        </w:rPr>
        <w:t xml:space="preserve">10. </w:t>
      </w:r>
      <w:r w:rsidRPr="005F63D1">
        <w:rPr>
          <w:rFonts w:ascii="Charter" w:hAnsi="Charter"/>
          <w:noProof/>
          <w:sz w:val="22"/>
        </w:rPr>
        <w:tab/>
        <w:t xml:space="preserve">Vojtková J, Durdík P, Ciljaková M, Michnová Z, Turcan T, Babusíková E. The association between gene polymorphisms of glutathione S-transferase T1/M1 and type 1 diabetes in Slovak children and adolescents. Cent Eur J Public Health. 2013 Jun;21(2):88–91. </w:t>
      </w:r>
    </w:p>
    <w:p w14:paraId="7C768B3E" w14:textId="77777777" w:rsidR="005F63D1" w:rsidRPr="005F63D1" w:rsidRDefault="005F63D1" w:rsidP="005F63D1">
      <w:pPr>
        <w:widowControl w:val="0"/>
        <w:autoSpaceDE w:val="0"/>
        <w:autoSpaceDN w:val="0"/>
        <w:adjustRightInd w:val="0"/>
        <w:ind w:left="640" w:hanging="640"/>
        <w:rPr>
          <w:rFonts w:ascii="Charter" w:hAnsi="Charter"/>
          <w:noProof/>
          <w:sz w:val="22"/>
        </w:rPr>
      </w:pPr>
      <w:r w:rsidRPr="005F63D1">
        <w:rPr>
          <w:rFonts w:ascii="Charter" w:hAnsi="Charter"/>
          <w:noProof/>
          <w:sz w:val="22"/>
        </w:rPr>
        <w:t xml:space="preserve">11. </w:t>
      </w:r>
      <w:r w:rsidRPr="005F63D1">
        <w:rPr>
          <w:rFonts w:ascii="Charter" w:hAnsi="Charter"/>
          <w:noProof/>
          <w:sz w:val="22"/>
        </w:rPr>
        <w:tab/>
        <w:t xml:space="preserve">Allam G, Nasr A, Talaat IM, Abuelsaad ASA, Bakheit AM, Nemenqani D, et al. Association between cytokine genes polymorphisms and type 1 diabetes: a case-control study on Saudi population. Immunol Invest. 2018 Apr 3;47(3):229–40. </w:t>
      </w:r>
    </w:p>
    <w:p w14:paraId="4F277BA0" w14:textId="3237EA2E" w:rsidR="005F63D1" w:rsidRPr="005F63D1" w:rsidRDefault="005F63D1">
      <w:pPr>
        <w:pStyle w:val="Body"/>
        <w:jc w:val="both"/>
        <w:rPr>
          <w:rFonts w:ascii="Charter" w:hAnsi="Charter"/>
        </w:rPr>
      </w:pPr>
      <w:r w:rsidRPr="005F63D1">
        <w:rPr>
          <w:rFonts w:ascii="Charter" w:hAnsi="Charter"/>
        </w:rPr>
        <w:lastRenderedPageBreak/>
        <w:fldChar w:fldCharType="end"/>
      </w:r>
    </w:p>
    <w:sectPr w:rsidR="005F63D1" w:rsidRPr="005F63D1" w:rsidSect="00C8017A">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41F8F8" w14:textId="77777777" w:rsidR="00905AAF" w:rsidRDefault="00905AAF">
      <w:r>
        <w:separator/>
      </w:r>
    </w:p>
  </w:endnote>
  <w:endnote w:type="continuationSeparator" w:id="0">
    <w:p w14:paraId="3C368519" w14:textId="77777777" w:rsidR="00905AAF" w:rsidRDefault="00905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harter">
    <w:altName w:val="Cambria Math"/>
    <w:charset w:val="00"/>
    <w:family w:val="roman"/>
    <w:pitch w:val="variable"/>
    <w:sig w:usb0="00000001" w:usb1="1000204A" w:usb2="00000000" w:usb3="00000000" w:csb0="00000011" w:csb1="00000000"/>
  </w:font>
  <w:font w:name="Times New Roman">
    <w:panose1 w:val="02020603050405020304"/>
    <w:charset w:val="EE"/>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Malgun Gothic"/>
    <w:charset w:val="00"/>
    <w:family w:val="auto"/>
    <w:pitch w:val="variable"/>
    <w:sig w:usb0="00000003" w:usb1="500079DB" w:usb2="00000010" w:usb3="00000000" w:csb0="00000001" w:csb1="00000000"/>
  </w:font>
  <w:font w:name="Segoe UI">
    <w:panose1 w:val="020B0502040204020203"/>
    <w:charset w:val="EE"/>
    <w:family w:val="swiss"/>
    <w:pitch w:val="variable"/>
    <w:sig w:usb0="E10022FF" w:usb1="C000E47F" w:usb2="00000029" w:usb3="00000000" w:csb0="000001DF" w:csb1="00000000"/>
  </w:font>
  <w:font w:name="TimesNewRomanPSMT">
    <w:altName w:val="Times New Roman"/>
    <w:panose1 w:val="00000000000000000000"/>
    <w:charset w:val="00"/>
    <w:family w:val="roman"/>
    <w:notTrueType/>
    <w:pitch w:val="default"/>
  </w:font>
  <w:font w:name="Charter Roman">
    <w:altName w:val="Cambria Math"/>
    <w:charset w:val="00"/>
    <w:family w:val="roman"/>
    <w:pitch w:val="variable"/>
    <w:sig w:usb0="00000001" w:usb1="1000204A" w:usb2="00000000" w:usb3="00000000" w:csb0="00000011"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4F702" w14:textId="77777777" w:rsidR="0074588C" w:rsidRDefault="007458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7F246" w14:textId="77777777" w:rsidR="0074588C" w:rsidRDefault="0074588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53BDA" w14:textId="77777777" w:rsidR="0074588C" w:rsidRDefault="007458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00945" w14:textId="77777777" w:rsidR="00905AAF" w:rsidRDefault="00905AAF">
      <w:r>
        <w:separator/>
      </w:r>
    </w:p>
  </w:footnote>
  <w:footnote w:type="continuationSeparator" w:id="0">
    <w:p w14:paraId="38EB62A6" w14:textId="77777777" w:rsidR="00905AAF" w:rsidRDefault="00905A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A8F685" w14:textId="77777777" w:rsidR="0074588C" w:rsidRDefault="007458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F07CB" w14:textId="77777777" w:rsidR="0074588C" w:rsidRDefault="007458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04D70" w14:textId="77777777" w:rsidR="0074588C" w:rsidRDefault="007458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0FC1"/>
    <w:multiLevelType w:val="hybridMultilevel"/>
    <w:tmpl w:val="D564D5EC"/>
    <w:lvl w:ilvl="0" w:tplc="40068BEE">
      <w:start w:val="1"/>
      <w:numFmt w:val="decimal"/>
      <w:lvlText w:val="%1."/>
      <w:lvlJc w:val="left"/>
      <w:pPr>
        <w:ind w:left="720" w:hanging="360"/>
      </w:pPr>
      <w:rPr>
        <w:rFonts w:ascii="Charter" w:hAnsi="Charter"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00A2C"/>
    <w:multiLevelType w:val="multilevel"/>
    <w:tmpl w:val="AC860D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displayBackgroundShape/>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A28"/>
    <w:rsid w:val="00002CE0"/>
    <w:rsid w:val="00033691"/>
    <w:rsid w:val="0003444C"/>
    <w:rsid w:val="00051876"/>
    <w:rsid w:val="000D6FC8"/>
    <w:rsid w:val="001625C3"/>
    <w:rsid w:val="001B7577"/>
    <w:rsid w:val="001D6703"/>
    <w:rsid w:val="001E3DC9"/>
    <w:rsid w:val="00202A73"/>
    <w:rsid w:val="00226BFA"/>
    <w:rsid w:val="00260D0E"/>
    <w:rsid w:val="002D33AA"/>
    <w:rsid w:val="00312562"/>
    <w:rsid w:val="003B181A"/>
    <w:rsid w:val="00406769"/>
    <w:rsid w:val="00417FC1"/>
    <w:rsid w:val="00453AC3"/>
    <w:rsid w:val="00467AC0"/>
    <w:rsid w:val="00482C93"/>
    <w:rsid w:val="00492674"/>
    <w:rsid w:val="005062B0"/>
    <w:rsid w:val="005161E7"/>
    <w:rsid w:val="00517A28"/>
    <w:rsid w:val="00551667"/>
    <w:rsid w:val="0056675B"/>
    <w:rsid w:val="005C53B2"/>
    <w:rsid w:val="005C7532"/>
    <w:rsid w:val="005F63D1"/>
    <w:rsid w:val="00677BC3"/>
    <w:rsid w:val="007144C3"/>
    <w:rsid w:val="00732751"/>
    <w:rsid w:val="00735ECE"/>
    <w:rsid w:val="0074588C"/>
    <w:rsid w:val="00766C8D"/>
    <w:rsid w:val="00767055"/>
    <w:rsid w:val="007D625A"/>
    <w:rsid w:val="007F337B"/>
    <w:rsid w:val="008233DE"/>
    <w:rsid w:val="00830175"/>
    <w:rsid w:val="008F7583"/>
    <w:rsid w:val="00905AAF"/>
    <w:rsid w:val="00934551"/>
    <w:rsid w:val="00971195"/>
    <w:rsid w:val="00976565"/>
    <w:rsid w:val="009B3400"/>
    <w:rsid w:val="009E0882"/>
    <w:rsid w:val="009F63D4"/>
    <w:rsid w:val="00A24ACC"/>
    <w:rsid w:val="00AE4E03"/>
    <w:rsid w:val="00AF702D"/>
    <w:rsid w:val="00B223DC"/>
    <w:rsid w:val="00B404F7"/>
    <w:rsid w:val="00B4752E"/>
    <w:rsid w:val="00C4421B"/>
    <w:rsid w:val="00C8017A"/>
    <w:rsid w:val="00CA03DC"/>
    <w:rsid w:val="00D0343D"/>
    <w:rsid w:val="00D112AF"/>
    <w:rsid w:val="00D24904"/>
    <w:rsid w:val="00D72769"/>
    <w:rsid w:val="00DA29DF"/>
    <w:rsid w:val="00E564CF"/>
    <w:rsid w:val="00E77508"/>
    <w:rsid w:val="00F15B5C"/>
    <w:rsid w:val="00F42B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336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lang w:val="en-US"/>
    </w:rPr>
  </w:style>
  <w:style w:type="paragraph" w:customStyle="1" w:styleId="Default">
    <w:name w:val="Default"/>
    <w:rPr>
      <w:rFonts w:ascii="Helvetica Neue" w:hAnsi="Helvetica Neue" w:cs="Arial Unicode MS"/>
      <w:color w:val="000000"/>
      <w:sz w:val="22"/>
      <w:szCs w:val="22"/>
      <w:lang w:val="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B34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400"/>
    <w:rPr>
      <w:rFonts w:ascii="Segoe UI" w:hAnsi="Segoe UI" w:cs="Segoe UI"/>
      <w:sz w:val="18"/>
      <w:szCs w:val="18"/>
      <w:lang w:val="en-US" w:eastAsia="en-US"/>
    </w:rPr>
  </w:style>
  <w:style w:type="paragraph" w:styleId="Header">
    <w:name w:val="header"/>
    <w:basedOn w:val="Normal"/>
    <w:link w:val="HeaderChar"/>
    <w:uiPriority w:val="99"/>
    <w:unhideWhenUsed/>
    <w:rsid w:val="0074588C"/>
    <w:pPr>
      <w:tabs>
        <w:tab w:val="center" w:pos="4680"/>
        <w:tab w:val="right" w:pos="9360"/>
      </w:tabs>
    </w:pPr>
  </w:style>
  <w:style w:type="character" w:customStyle="1" w:styleId="HeaderChar">
    <w:name w:val="Header Char"/>
    <w:basedOn w:val="DefaultParagraphFont"/>
    <w:link w:val="Header"/>
    <w:uiPriority w:val="99"/>
    <w:rsid w:val="0074588C"/>
    <w:rPr>
      <w:sz w:val="24"/>
      <w:szCs w:val="24"/>
      <w:lang w:val="en-US" w:eastAsia="en-US"/>
    </w:rPr>
  </w:style>
  <w:style w:type="paragraph" w:styleId="Footer">
    <w:name w:val="footer"/>
    <w:basedOn w:val="Normal"/>
    <w:link w:val="FooterChar"/>
    <w:uiPriority w:val="99"/>
    <w:unhideWhenUsed/>
    <w:rsid w:val="0074588C"/>
    <w:pPr>
      <w:tabs>
        <w:tab w:val="center" w:pos="4680"/>
        <w:tab w:val="right" w:pos="9360"/>
      </w:tabs>
    </w:pPr>
  </w:style>
  <w:style w:type="character" w:customStyle="1" w:styleId="FooterChar">
    <w:name w:val="Footer Char"/>
    <w:basedOn w:val="DefaultParagraphFont"/>
    <w:link w:val="Footer"/>
    <w:uiPriority w:val="99"/>
    <w:rsid w:val="0074588C"/>
    <w:rPr>
      <w:sz w:val="24"/>
      <w:szCs w:val="24"/>
      <w:lang w:val="en-US" w:eastAsia="en-US"/>
    </w:rPr>
  </w:style>
  <w:style w:type="paragraph" w:styleId="NormalWeb">
    <w:name w:val="Normal (Web)"/>
    <w:basedOn w:val="Normal"/>
    <w:uiPriority w:val="99"/>
    <w:unhideWhenUsed/>
    <w:rsid w:val="0074588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lang w:val="en-US"/>
    </w:rPr>
  </w:style>
  <w:style w:type="paragraph" w:customStyle="1" w:styleId="Default">
    <w:name w:val="Default"/>
    <w:rPr>
      <w:rFonts w:ascii="Helvetica Neue" w:hAnsi="Helvetica Neue" w:cs="Arial Unicode MS"/>
      <w:color w:val="000000"/>
      <w:sz w:val="22"/>
      <w:szCs w:val="22"/>
      <w:lang w:val="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B34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400"/>
    <w:rPr>
      <w:rFonts w:ascii="Segoe UI" w:hAnsi="Segoe UI" w:cs="Segoe UI"/>
      <w:sz w:val="18"/>
      <w:szCs w:val="18"/>
      <w:lang w:val="en-US" w:eastAsia="en-US"/>
    </w:rPr>
  </w:style>
  <w:style w:type="paragraph" w:styleId="Header">
    <w:name w:val="header"/>
    <w:basedOn w:val="Normal"/>
    <w:link w:val="HeaderChar"/>
    <w:uiPriority w:val="99"/>
    <w:unhideWhenUsed/>
    <w:rsid w:val="0074588C"/>
    <w:pPr>
      <w:tabs>
        <w:tab w:val="center" w:pos="4680"/>
        <w:tab w:val="right" w:pos="9360"/>
      </w:tabs>
    </w:pPr>
  </w:style>
  <w:style w:type="character" w:customStyle="1" w:styleId="HeaderChar">
    <w:name w:val="Header Char"/>
    <w:basedOn w:val="DefaultParagraphFont"/>
    <w:link w:val="Header"/>
    <w:uiPriority w:val="99"/>
    <w:rsid w:val="0074588C"/>
    <w:rPr>
      <w:sz w:val="24"/>
      <w:szCs w:val="24"/>
      <w:lang w:val="en-US" w:eastAsia="en-US"/>
    </w:rPr>
  </w:style>
  <w:style w:type="paragraph" w:styleId="Footer">
    <w:name w:val="footer"/>
    <w:basedOn w:val="Normal"/>
    <w:link w:val="FooterChar"/>
    <w:uiPriority w:val="99"/>
    <w:unhideWhenUsed/>
    <w:rsid w:val="0074588C"/>
    <w:pPr>
      <w:tabs>
        <w:tab w:val="center" w:pos="4680"/>
        <w:tab w:val="right" w:pos="9360"/>
      </w:tabs>
    </w:pPr>
  </w:style>
  <w:style w:type="character" w:customStyle="1" w:styleId="FooterChar">
    <w:name w:val="Footer Char"/>
    <w:basedOn w:val="DefaultParagraphFont"/>
    <w:link w:val="Footer"/>
    <w:uiPriority w:val="99"/>
    <w:rsid w:val="0074588C"/>
    <w:rPr>
      <w:sz w:val="24"/>
      <w:szCs w:val="24"/>
      <w:lang w:val="en-US" w:eastAsia="en-US"/>
    </w:rPr>
  </w:style>
  <w:style w:type="paragraph" w:styleId="NormalWeb">
    <w:name w:val="Normal (Web)"/>
    <w:basedOn w:val="Normal"/>
    <w:uiPriority w:val="99"/>
    <w:unhideWhenUsed/>
    <w:rsid w:val="0074588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469591">
      <w:bodyDiv w:val="1"/>
      <w:marLeft w:val="0"/>
      <w:marRight w:val="0"/>
      <w:marTop w:val="0"/>
      <w:marBottom w:val="0"/>
      <w:divBdr>
        <w:top w:val="none" w:sz="0" w:space="0" w:color="auto"/>
        <w:left w:val="none" w:sz="0" w:space="0" w:color="auto"/>
        <w:bottom w:val="none" w:sz="0" w:space="0" w:color="auto"/>
        <w:right w:val="none" w:sz="0" w:space="0" w:color="auto"/>
      </w:divBdr>
      <w:divsChild>
        <w:div w:id="154147131">
          <w:marLeft w:val="0"/>
          <w:marRight w:val="0"/>
          <w:marTop w:val="0"/>
          <w:marBottom w:val="0"/>
          <w:divBdr>
            <w:top w:val="none" w:sz="0" w:space="0" w:color="auto"/>
            <w:left w:val="none" w:sz="0" w:space="0" w:color="auto"/>
            <w:bottom w:val="none" w:sz="0" w:space="0" w:color="auto"/>
            <w:right w:val="none" w:sz="0" w:space="0" w:color="auto"/>
          </w:divBdr>
          <w:divsChild>
            <w:div w:id="532545616">
              <w:marLeft w:val="0"/>
              <w:marRight w:val="0"/>
              <w:marTop w:val="0"/>
              <w:marBottom w:val="0"/>
              <w:divBdr>
                <w:top w:val="none" w:sz="0" w:space="0" w:color="auto"/>
                <w:left w:val="none" w:sz="0" w:space="0" w:color="auto"/>
                <w:bottom w:val="none" w:sz="0" w:space="0" w:color="auto"/>
                <w:right w:val="none" w:sz="0" w:space="0" w:color="auto"/>
              </w:divBdr>
              <w:divsChild>
                <w:div w:id="2418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92959">
      <w:bodyDiv w:val="1"/>
      <w:marLeft w:val="0"/>
      <w:marRight w:val="0"/>
      <w:marTop w:val="0"/>
      <w:marBottom w:val="0"/>
      <w:divBdr>
        <w:top w:val="none" w:sz="0" w:space="0" w:color="auto"/>
        <w:left w:val="none" w:sz="0" w:space="0" w:color="auto"/>
        <w:bottom w:val="none" w:sz="0" w:space="0" w:color="auto"/>
        <w:right w:val="none" w:sz="0" w:space="0" w:color="auto"/>
      </w:divBdr>
      <w:divsChild>
        <w:div w:id="346250330">
          <w:marLeft w:val="0"/>
          <w:marRight w:val="0"/>
          <w:marTop w:val="0"/>
          <w:marBottom w:val="0"/>
          <w:divBdr>
            <w:top w:val="none" w:sz="0" w:space="0" w:color="auto"/>
            <w:left w:val="none" w:sz="0" w:space="0" w:color="auto"/>
            <w:bottom w:val="none" w:sz="0" w:space="0" w:color="auto"/>
            <w:right w:val="none" w:sz="0" w:space="0" w:color="auto"/>
          </w:divBdr>
          <w:divsChild>
            <w:div w:id="1087119536">
              <w:marLeft w:val="0"/>
              <w:marRight w:val="0"/>
              <w:marTop w:val="0"/>
              <w:marBottom w:val="0"/>
              <w:divBdr>
                <w:top w:val="none" w:sz="0" w:space="0" w:color="auto"/>
                <w:left w:val="none" w:sz="0" w:space="0" w:color="auto"/>
                <w:bottom w:val="none" w:sz="0" w:space="0" w:color="auto"/>
                <w:right w:val="none" w:sz="0" w:space="0" w:color="auto"/>
              </w:divBdr>
              <w:divsChild>
                <w:div w:id="1379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55454">
      <w:bodyDiv w:val="1"/>
      <w:marLeft w:val="0"/>
      <w:marRight w:val="0"/>
      <w:marTop w:val="0"/>
      <w:marBottom w:val="0"/>
      <w:divBdr>
        <w:top w:val="none" w:sz="0" w:space="0" w:color="auto"/>
        <w:left w:val="none" w:sz="0" w:space="0" w:color="auto"/>
        <w:bottom w:val="none" w:sz="0" w:space="0" w:color="auto"/>
        <w:right w:val="none" w:sz="0" w:space="0" w:color="auto"/>
      </w:divBdr>
      <w:divsChild>
        <w:div w:id="1762338473">
          <w:marLeft w:val="0"/>
          <w:marRight w:val="0"/>
          <w:marTop w:val="0"/>
          <w:marBottom w:val="0"/>
          <w:divBdr>
            <w:top w:val="none" w:sz="0" w:space="0" w:color="auto"/>
            <w:left w:val="none" w:sz="0" w:space="0" w:color="auto"/>
            <w:bottom w:val="none" w:sz="0" w:space="0" w:color="auto"/>
            <w:right w:val="none" w:sz="0" w:space="0" w:color="auto"/>
          </w:divBdr>
          <w:divsChild>
            <w:div w:id="283268622">
              <w:marLeft w:val="0"/>
              <w:marRight w:val="0"/>
              <w:marTop w:val="0"/>
              <w:marBottom w:val="0"/>
              <w:divBdr>
                <w:top w:val="none" w:sz="0" w:space="0" w:color="auto"/>
                <w:left w:val="none" w:sz="0" w:space="0" w:color="auto"/>
                <w:bottom w:val="none" w:sz="0" w:space="0" w:color="auto"/>
                <w:right w:val="none" w:sz="0" w:space="0" w:color="auto"/>
              </w:divBdr>
              <w:divsChild>
                <w:div w:id="11506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76443">
      <w:bodyDiv w:val="1"/>
      <w:marLeft w:val="0"/>
      <w:marRight w:val="0"/>
      <w:marTop w:val="0"/>
      <w:marBottom w:val="0"/>
      <w:divBdr>
        <w:top w:val="none" w:sz="0" w:space="0" w:color="auto"/>
        <w:left w:val="none" w:sz="0" w:space="0" w:color="auto"/>
        <w:bottom w:val="none" w:sz="0" w:space="0" w:color="auto"/>
        <w:right w:val="none" w:sz="0" w:space="0" w:color="auto"/>
      </w:divBdr>
      <w:divsChild>
        <w:div w:id="689839094">
          <w:marLeft w:val="0"/>
          <w:marRight w:val="0"/>
          <w:marTop w:val="0"/>
          <w:marBottom w:val="0"/>
          <w:divBdr>
            <w:top w:val="none" w:sz="0" w:space="0" w:color="auto"/>
            <w:left w:val="none" w:sz="0" w:space="0" w:color="auto"/>
            <w:bottom w:val="none" w:sz="0" w:space="0" w:color="auto"/>
            <w:right w:val="none" w:sz="0" w:space="0" w:color="auto"/>
          </w:divBdr>
          <w:divsChild>
            <w:div w:id="1624997521">
              <w:marLeft w:val="0"/>
              <w:marRight w:val="0"/>
              <w:marTop w:val="0"/>
              <w:marBottom w:val="0"/>
              <w:divBdr>
                <w:top w:val="none" w:sz="0" w:space="0" w:color="auto"/>
                <w:left w:val="none" w:sz="0" w:space="0" w:color="auto"/>
                <w:bottom w:val="none" w:sz="0" w:space="0" w:color="auto"/>
                <w:right w:val="none" w:sz="0" w:space="0" w:color="auto"/>
              </w:divBdr>
              <w:divsChild>
                <w:div w:id="1091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CE1E8-2AB2-4911-94D5-11AAB9B40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9610</Words>
  <Characters>55738</Characters>
  <Application>Microsoft Office Word</Application>
  <DocSecurity>4</DocSecurity>
  <Lines>464</Lines>
  <Paragraphs>130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pedi</dc:creator>
  <cp:lastModifiedBy>user</cp:lastModifiedBy>
  <cp:revision>2</cp:revision>
  <cp:lastPrinted>2019-01-21T13:05:00Z</cp:lastPrinted>
  <dcterms:created xsi:type="dcterms:W3CDTF">2019-07-17T12:42:00Z</dcterms:created>
  <dcterms:modified xsi:type="dcterms:W3CDTF">2019-07-17T12:42:00Z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bc4c1a98-e663-3e8e-934a-51c5ab20aeb4</vt:lpwstr>
  </property>
  <property fmtid="{D5CDD505-2E9C-101B-9397-08002B2CF9AE}" pid="4" name="Mendeley Citation Style_1">
    <vt:lpwstr>http://www.zotero.org/styles/national-library-of-medicine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http://www.zotero.org/styles/springer-basic-author-date</vt:lpwstr>
  </property>
  <property fmtid="{D5CDD505-2E9C-101B-9397-08002B2CF9AE}" pid="22" name="Mendeley Recent Style Name 8_1">
    <vt:lpwstr>Springer - Basic (author-date)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