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</w:pPr>
      <w:r>
        <w:t>The role of adiponectin, TNF-α and glutathione in the pathogenesis and evolution of type 1 diabetes</w:t>
      </w:r>
    </w:p>
    <w:p>
      <w:pPr>
        <w:pStyle w:val="25"/>
      </w:pPr>
      <w:r>
        <w:t>Csilla Enikő Szabo</w:t>
      </w:r>
    </w:p>
    <w:sdt>
      <w:sdtPr>
        <w:id w:val="0"/>
        <w:docPartObj>
          <w:docPartGallery w:val="Table of Contents"/>
          <w:docPartUnique/>
        </w:docPartObj>
      </w:sdtPr>
      <w:sdtContent>
        <w:p>
          <w:pPr>
            <w:pStyle w:val="37"/>
          </w:pPr>
          <w:r>
            <w:t>Table of Contents</w:t>
          </w:r>
        </w:p>
        <w:p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>
      <w:pPr>
        <w:pStyle w:val="2"/>
      </w:pPr>
      <w:bookmarkStart w:id="0" w:name="tables"/>
      <w:r>
        <w:t>Tables</w:t>
      </w:r>
      <w:bookmarkEnd w:id="0"/>
    </w:p>
    <w:p>
      <w:pPr>
        <w:pStyle w:val="4"/>
      </w:pPr>
      <w:bookmarkStart w:id="1" w:name="rezultate"/>
      <w:r>
        <w:t>Rezultate</w:t>
      </w:r>
      <w:bookmarkEnd w:id="1"/>
    </w:p>
    <w:tbl>
      <w:tblPr>
        <w:tblStyle w:val="22"/>
        <w:tblW w:w="8640" w:type="dxa"/>
        <w:jc w:val="center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282"/>
        <w:gridCol w:w="1157"/>
        <w:gridCol w:w="1107"/>
        <w:gridCol w:w="1274"/>
        <w:gridCol w:w="282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55" w:hRule="atLeast"/>
          <w:tblHeader/>
          <w:jc w:val="center"/>
        </w:trPr>
        <w:tc>
          <w:tcPr>
            <w:tcW w:w="2282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100" w:right="10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Factor</w:t>
            </w:r>
          </w:p>
        </w:tc>
        <w:tc>
          <w:tcPr>
            <w:tcW w:w="1157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100" w:right="10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Detalis</w:t>
            </w:r>
          </w:p>
        </w:tc>
        <w:tc>
          <w:tcPr>
            <w:tcW w:w="1107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100" w:right="10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cases</w:t>
            </w:r>
          </w:p>
        </w:tc>
        <w:tc>
          <w:tcPr>
            <w:tcW w:w="1274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100" w:right="10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controls</w:t>
            </w:r>
          </w:p>
        </w:tc>
        <w:tc>
          <w:tcPr>
            <w:tcW w:w="2820" w:type="dxa"/>
            <w:tcBorders>
              <w:top w:val="single" w:color="000000" w:sz="16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40" w:after="40"/>
              <w:ind w:left="100" w:right="10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Statistics</w:t>
            </w:r>
            <w:bookmarkStart w:id="3" w:name="_GoBack"/>
            <w:bookmarkEnd w:id="3"/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4" w:hRule="atLeast"/>
          <w:jc w:val="center"/>
        </w:trPr>
        <w:tc>
          <w:tcPr>
            <w:tcW w:w="2282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Group</w:t>
            </w:r>
          </w:p>
        </w:tc>
        <w:tc>
          <w:tcPr>
            <w:tcW w:w="1157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</w:p>
        </w:tc>
        <w:tc>
          <w:tcPr>
            <w:tcW w:w="1107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72 (44.4%)</w:t>
            </w:r>
          </w:p>
        </w:tc>
        <w:tc>
          <w:tcPr>
            <w:tcW w:w="1274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90 (55.6%)</w:t>
            </w:r>
          </w:p>
        </w:tc>
        <w:tc>
          <w:tcPr>
            <w:tcW w:w="2820" w:type="dxa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4" w:hRule="atLeast"/>
          <w:jc w:val="center"/>
        </w:trPr>
        <w:tc>
          <w:tcPr>
            <w:tcW w:w="2282" w:type="dxa"/>
            <w:vMerge w:val="restart"/>
            <w:tcBorders>
              <w:top w:val="single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Sex</w:t>
            </w:r>
          </w:p>
        </w:tc>
        <w:tc>
          <w:tcPr>
            <w:tcW w:w="1157" w:type="dxa"/>
            <w:tcBorders>
              <w:top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F</w:t>
            </w:r>
          </w:p>
        </w:tc>
        <w:tc>
          <w:tcPr>
            <w:tcW w:w="1107" w:type="dxa"/>
            <w:tcBorders>
              <w:top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38 (52.8%)</w:t>
            </w:r>
          </w:p>
        </w:tc>
        <w:tc>
          <w:tcPr>
            <w:tcW w:w="1274" w:type="dxa"/>
            <w:tcBorders>
              <w:top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42 (46.7%)</w:t>
            </w:r>
          </w:p>
        </w:tc>
        <w:tc>
          <w:tcPr>
            <w:tcW w:w="2820" w:type="dxa"/>
            <w:vMerge w:val="restart"/>
            <w:tcBorders>
              <w:top w:val="single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OR=1.28 [0.69, 2.38], phi=0.06 (p=0.527)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4" w:hRule="atLeast"/>
          <w:jc w:val="center"/>
        </w:trPr>
        <w:tc>
          <w:tcPr>
            <w:tcW w:w="2282" w:type="dxa"/>
            <w:vMerge w:val="continue"/>
            <w:tcBorders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</w:p>
        </w:tc>
        <w:tc>
          <w:tcPr>
            <w:tcW w:w="1157" w:type="dxa"/>
            <w:tcBorders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M</w:t>
            </w:r>
          </w:p>
        </w:tc>
        <w:tc>
          <w:tcPr>
            <w:tcW w:w="1107" w:type="dxa"/>
            <w:tcBorders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34 (47.2%)</w:t>
            </w:r>
          </w:p>
        </w:tc>
        <w:tc>
          <w:tcPr>
            <w:tcW w:w="1274" w:type="dxa"/>
            <w:tcBorders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48 (53.3%)</w:t>
            </w:r>
          </w:p>
        </w:tc>
        <w:tc>
          <w:tcPr>
            <w:tcW w:w="2820" w:type="dxa"/>
            <w:vMerge w:val="continue"/>
            <w:tcBorders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4" w:hRule="atLeast"/>
          <w:jc w:val="center"/>
        </w:trPr>
        <w:tc>
          <w:tcPr>
            <w:tcW w:w="2282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Age (years)</w:t>
            </w:r>
          </w:p>
        </w:tc>
        <w:tc>
          <w:tcPr>
            <w:tcW w:w="115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μ ±DS</w:t>
            </w:r>
          </w:p>
        </w:tc>
        <w:tc>
          <w:tcPr>
            <w:tcW w:w="110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11.93 ±4.27</w:t>
            </w:r>
          </w:p>
        </w:tc>
        <w:tc>
          <w:tcPr>
            <w:tcW w:w="1274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10.19 ±5.08</w:t>
            </w:r>
          </w:p>
        </w:tc>
        <w:tc>
          <w:tcPr>
            <w:tcW w:w="2820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MW: p=0.037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4" w:hRule="atLeast"/>
          <w:jc w:val="center"/>
        </w:trPr>
        <w:tc>
          <w:tcPr>
            <w:tcW w:w="2282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Age at onset (years)</w:t>
            </w:r>
          </w:p>
        </w:tc>
        <w:tc>
          <w:tcPr>
            <w:tcW w:w="115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μ ±DS</w:t>
            </w:r>
          </w:p>
        </w:tc>
        <w:tc>
          <w:tcPr>
            <w:tcW w:w="110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6.84 ±3.97</w:t>
            </w:r>
          </w:p>
        </w:tc>
        <w:tc>
          <w:tcPr>
            <w:tcW w:w="1274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</w:p>
        </w:tc>
        <w:tc>
          <w:tcPr>
            <w:tcW w:w="2820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4" w:hRule="atLeast"/>
          <w:jc w:val="center"/>
        </w:trPr>
        <w:tc>
          <w:tcPr>
            <w:tcW w:w="2282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Body mass index (kg/m²)</w:t>
            </w:r>
          </w:p>
        </w:tc>
        <w:tc>
          <w:tcPr>
            <w:tcW w:w="115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μ ±DS</w:t>
            </w:r>
          </w:p>
        </w:tc>
        <w:tc>
          <w:tcPr>
            <w:tcW w:w="110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18.96 ±3.37</w:t>
            </w:r>
          </w:p>
        </w:tc>
        <w:tc>
          <w:tcPr>
            <w:tcW w:w="1274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17.32 ±4.06</w:t>
            </w:r>
          </w:p>
        </w:tc>
        <w:tc>
          <w:tcPr>
            <w:tcW w:w="2820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MW: p=0.001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4" w:hRule="atLeast"/>
          <w:jc w:val="center"/>
        </w:trPr>
        <w:tc>
          <w:tcPr>
            <w:tcW w:w="2282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Weight (kg)</w:t>
            </w:r>
          </w:p>
        </w:tc>
        <w:tc>
          <w:tcPr>
            <w:tcW w:w="115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μ ±DS</w:t>
            </w:r>
          </w:p>
        </w:tc>
        <w:tc>
          <w:tcPr>
            <w:tcW w:w="110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45.15 ±17.8</w:t>
            </w:r>
          </w:p>
        </w:tc>
        <w:tc>
          <w:tcPr>
            <w:tcW w:w="1274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37.00 ±19.8</w:t>
            </w:r>
          </w:p>
        </w:tc>
        <w:tc>
          <w:tcPr>
            <w:tcW w:w="2820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MW: p=0.004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4" w:hRule="atLeast"/>
          <w:jc w:val="center"/>
        </w:trPr>
        <w:tc>
          <w:tcPr>
            <w:tcW w:w="2282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HbA1c (%)</w:t>
            </w:r>
          </w:p>
        </w:tc>
        <w:tc>
          <w:tcPr>
            <w:tcW w:w="115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μ ±DS</w:t>
            </w:r>
          </w:p>
        </w:tc>
        <w:tc>
          <w:tcPr>
            <w:tcW w:w="110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8.81 ±1.79</w:t>
            </w:r>
          </w:p>
        </w:tc>
        <w:tc>
          <w:tcPr>
            <w:tcW w:w="1274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4.81 ±0.451</w:t>
            </w:r>
          </w:p>
        </w:tc>
        <w:tc>
          <w:tcPr>
            <w:tcW w:w="2820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MW: p&lt;0.001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4" w:hRule="atLeast"/>
          <w:jc w:val="center"/>
        </w:trPr>
        <w:tc>
          <w:tcPr>
            <w:tcW w:w="2282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Insulin intake (IU/kg/day)</w:t>
            </w:r>
          </w:p>
        </w:tc>
        <w:tc>
          <w:tcPr>
            <w:tcW w:w="115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μ ±DS</w:t>
            </w:r>
          </w:p>
        </w:tc>
        <w:tc>
          <w:tcPr>
            <w:tcW w:w="110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0.949 ±0.271</w:t>
            </w:r>
          </w:p>
        </w:tc>
        <w:tc>
          <w:tcPr>
            <w:tcW w:w="1274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</w:p>
        </w:tc>
        <w:tc>
          <w:tcPr>
            <w:tcW w:w="2820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4" w:hRule="atLeast"/>
          <w:jc w:val="center"/>
        </w:trPr>
        <w:tc>
          <w:tcPr>
            <w:tcW w:w="2282" w:type="dxa"/>
            <w:vMerge w:val="restart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Injections/day n (%)</w:t>
            </w:r>
          </w:p>
        </w:tc>
        <w:tc>
          <w:tcPr>
            <w:tcW w:w="1157" w:type="dxa"/>
            <w:tcBorders>
              <w:top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4</w:t>
            </w:r>
          </w:p>
        </w:tc>
        <w:tc>
          <w:tcPr>
            <w:tcW w:w="1107" w:type="dxa"/>
            <w:tcBorders>
              <w:top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40 (55.6%)</w:t>
            </w:r>
          </w:p>
        </w:tc>
        <w:tc>
          <w:tcPr>
            <w:tcW w:w="1274" w:type="dxa"/>
            <w:tcBorders>
              <w:top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2820" w:type="dxa"/>
            <w:vMerge w:val="restart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4" w:hRule="atLeast"/>
          <w:jc w:val="center"/>
        </w:trPr>
        <w:tc>
          <w:tcPr>
            <w:tcW w:w="2282" w:type="dxa"/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</w:p>
        </w:tc>
        <w:tc>
          <w:tcPr>
            <w:tcW w:w="115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5</w:t>
            </w:r>
          </w:p>
        </w:tc>
        <w:tc>
          <w:tcPr>
            <w:tcW w:w="11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25 (34.7%)</w:t>
            </w:r>
          </w:p>
        </w:tc>
        <w:tc>
          <w:tcPr>
            <w:tcW w:w="1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2820" w:type="dxa"/>
            <w:vMerge w:val="continue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4" w:hRule="atLeast"/>
          <w:jc w:val="center"/>
        </w:trPr>
        <w:tc>
          <w:tcPr>
            <w:tcW w:w="2282" w:type="dxa"/>
            <w:vMerge w:val="continue"/>
            <w:tcBorders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</w:p>
        </w:tc>
        <w:tc>
          <w:tcPr>
            <w:tcW w:w="1157" w:type="dxa"/>
            <w:tcBorders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insulin pump</w:t>
            </w:r>
          </w:p>
        </w:tc>
        <w:tc>
          <w:tcPr>
            <w:tcW w:w="1107" w:type="dxa"/>
            <w:tcBorders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7 (9.7%)</w:t>
            </w:r>
          </w:p>
        </w:tc>
        <w:tc>
          <w:tcPr>
            <w:tcW w:w="1274" w:type="dxa"/>
            <w:tcBorders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2820" w:type="dxa"/>
            <w:vMerge w:val="continue"/>
            <w:tcBorders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4" w:hRule="atLeast"/>
          <w:jc w:val="center"/>
        </w:trPr>
        <w:tc>
          <w:tcPr>
            <w:tcW w:w="3439" w:type="dxa"/>
            <w:gridSpan w:val="2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Neuropathy n (%)</w:t>
            </w:r>
          </w:p>
        </w:tc>
        <w:tc>
          <w:tcPr>
            <w:tcW w:w="110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24 (33.3%)</w:t>
            </w:r>
          </w:p>
        </w:tc>
        <w:tc>
          <w:tcPr>
            <w:tcW w:w="1274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0</w:t>
            </w:r>
          </w:p>
        </w:tc>
        <w:tc>
          <w:tcPr>
            <w:tcW w:w="2820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OR=91.43 [5.44, 1 536.40], phi=0.47 (p&lt;0.001)</w:t>
            </w:r>
          </w:p>
        </w:tc>
      </w:tr>
      <w:tr>
        <w:tblPrEx>
          <w:tblLayout w:type="fixed"/>
        </w:tblPrEx>
        <w:trPr>
          <w:cantSplit/>
          <w:trHeight w:val="294" w:hRule="atLeast"/>
          <w:jc w:val="center"/>
        </w:trPr>
        <w:tc>
          <w:tcPr>
            <w:tcW w:w="3439" w:type="dxa"/>
            <w:gridSpan w:val="2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Nephropathy n (%)</w:t>
            </w:r>
          </w:p>
        </w:tc>
        <w:tc>
          <w:tcPr>
            <w:tcW w:w="110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6 (8.6%)</w:t>
            </w:r>
          </w:p>
        </w:tc>
        <w:tc>
          <w:tcPr>
            <w:tcW w:w="1274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0</w:t>
            </w:r>
          </w:p>
        </w:tc>
        <w:tc>
          <w:tcPr>
            <w:tcW w:w="2820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OR=18.24 [1.01, 329.56], phi=0.22 (p=0.006)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4" w:hRule="atLeast"/>
          <w:jc w:val="center"/>
        </w:trPr>
        <w:tc>
          <w:tcPr>
            <w:tcW w:w="3439" w:type="dxa"/>
            <w:gridSpan w:val="2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Retinopathy, n (%)</w:t>
            </w:r>
          </w:p>
        </w:tc>
        <w:tc>
          <w:tcPr>
            <w:tcW w:w="110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2 (2.8%)</w:t>
            </w:r>
          </w:p>
        </w:tc>
        <w:tc>
          <w:tcPr>
            <w:tcW w:w="1274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0</w:t>
            </w:r>
          </w:p>
        </w:tc>
        <w:tc>
          <w:tcPr>
            <w:tcW w:w="2820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OR=6.42 [0.30, 135.84], phi=0.12 (p=0.196)</w:t>
            </w:r>
          </w:p>
        </w:tc>
      </w:tr>
      <w:tr>
        <w:tblPrEx>
          <w:tblLayout w:type="fixed"/>
        </w:tblPrEx>
        <w:trPr>
          <w:cantSplit/>
          <w:trHeight w:val="294" w:hRule="atLeast"/>
          <w:jc w:val="center"/>
        </w:trPr>
        <w:tc>
          <w:tcPr>
            <w:tcW w:w="3439" w:type="dxa"/>
            <w:gridSpan w:val="2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Other complications*</w:t>
            </w:r>
          </w:p>
        </w:tc>
        <w:tc>
          <w:tcPr>
            <w:tcW w:w="110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59 (81.9%)</w:t>
            </w:r>
          </w:p>
        </w:tc>
        <w:tc>
          <w:tcPr>
            <w:tcW w:w="1274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0</w:t>
            </w:r>
          </w:p>
        </w:tc>
        <w:tc>
          <w:tcPr>
            <w:tcW w:w="2820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OR=797.74 [46.54, Inf], phi=0.85 (p&lt;0.001)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4" w:hRule="atLeast"/>
          <w:jc w:val="center"/>
        </w:trPr>
        <w:tc>
          <w:tcPr>
            <w:tcW w:w="2282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Systolic blood pressure (mmHg)</w:t>
            </w:r>
          </w:p>
        </w:tc>
        <w:tc>
          <w:tcPr>
            <w:tcW w:w="115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μ ±DS</w:t>
            </w:r>
          </w:p>
        </w:tc>
        <w:tc>
          <w:tcPr>
            <w:tcW w:w="110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100.21 ±11.9</w:t>
            </w:r>
          </w:p>
        </w:tc>
        <w:tc>
          <w:tcPr>
            <w:tcW w:w="1274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101.50 ±12.9</w:t>
            </w:r>
          </w:p>
        </w:tc>
        <w:tc>
          <w:tcPr>
            <w:tcW w:w="2820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MW: p=0.575</w:t>
            </w:r>
          </w:p>
        </w:tc>
      </w:tr>
      <w:tr>
        <w:tblPrEx>
          <w:tblLayout w:type="fixed"/>
        </w:tblPrEx>
        <w:trPr>
          <w:cantSplit/>
          <w:trHeight w:val="294" w:hRule="atLeast"/>
          <w:jc w:val="center"/>
        </w:trPr>
        <w:tc>
          <w:tcPr>
            <w:tcW w:w="2282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Diastolic blood pressure (mmHg)</w:t>
            </w:r>
          </w:p>
        </w:tc>
        <w:tc>
          <w:tcPr>
            <w:tcW w:w="115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μ ±DS</w:t>
            </w:r>
          </w:p>
        </w:tc>
        <w:tc>
          <w:tcPr>
            <w:tcW w:w="110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54.65 ±10.7</w:t>
            </w:r>
          </w:p>
        </w:tc>
        <w:tc>
          <w:tcPr>
            <w:tcW w:w="1274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56.83 ±9.32</w:t>
            </w:r>
          </w:p>
        </w:tc>
        <w:tc>
          <w:tcPr>
            <w:tcW w:w="2820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MW: p=0.219</w:t>
            </w:r>
          </w:p>
        </w:tc>
      </w:tr>
      <w:tr>
        <w:tblPrEx>
          <w:tblLayout w:type="fixed"/>
        </w:tblPrEx>
        <w:trPr>
          <w:cantSplit/>
          <w:trHeight w:val="294" w:hRule="atLeast"/>
          <w:jc w:val="center"/>
        </w:trPr>
        <w:tc>
          <w:tcPr>
            <w:tcW w:w="2282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Adiponectin (μg/L)</w:t>
            </w:r>
          </w:p>
        </w:tc>
        <w:tc>
          <w:tcPr>
            <w:tcW w:w="115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μ ±DS</w:t>
            </w:r>
          </w:p>
        </w:tc>
        <w:tc>
          <w:tcPr>
            <w:tcW w:w="110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14.07 ±4.69</w:t>
            </w:r>
          </w:p>
        </w:tc>
        <w:tc>
          <w:tcPr>
            <w:tcW w:w="1274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</w:p>
        </w:tc>
        <w:tc>
          <w:tcPr>
            <w:tcW w:w="2820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4" w:hRule="atLeast"/>
          <w:jc w:val="center"/>
        </w:trPr>
        <w:tc>
          <w:tcPr>
            <w:tcW w:w="2282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TNF-alfa (pg/mL)</w:t>
            </w:r>
          </w:p>
        </w:tc>
        <w:tc>
          <w:tcPr>
            <w:tcW w:w="115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μ ±DS</w:t>
            </w:r>
          </w:p>
        </w:tc>
        <w:tc>
          <w:tcPr>
            <w:tcW w:w="110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11.09 ±4.21</w:t>
            </w:r>
          </w:p>
        </w:tc>
        <w:tc>
          <w:tcPr>
            <w:tcW w:w="1274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</w:p>
        </w:tc>
        <w:tc>
          <w:tcPr>
            <w:tcW w:w="2820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</w:p>
        </w:tc>
      </w:tr>
      <w:tr>
        <w:tblPrEx>
          <w:tblLayout w:type="fixed"/>
        </w:tblPrEx>
        <w:trPr>
          <w:cantSplit/>
          <w:trHeight w:val="292" w:hRule="atLeast"/>
          <w:jc w:val="center"/>
        </w:trPr>
        <w:tc>
          <w:tcPr>
            <w:tcW w:w="2282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Alfa 1AT</w:t>
            </w:r>
          </w:p>
        </w:tc>
        <w:tc>
          <w:tcPr>
            <w:tcW w:w="115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μ ±DS</w:t>
            </w:r>
          </w:p>
        </w:tc>
        <w:tc>
          <w:tcPr>
            <w:tcW w:w="110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133.50 ±18.2</w:t>
            </w:r>
          </w:p>
        </w:tc>
        <w:tc>
          <w:tcPr>
            <w:tcW w:w="1274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155.07 ±28.3</w:t>
            </w:r>
          </w:p>
        </w:tc>
        <w:tc>
          <w:tcPr>
            <w:tcW w:w="2820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MW: p=0.002</w:t>
            </w:r>
          </w:p>
        </w:tc>
      </w:tr>
      <w:tr>
        <w:tblPrEx>
          <w:tblLayout w:type="fixed"/>
        </w:tblPrEx>
        <w:trPr>
          <w:cantSplit/>
          <w:trHeight w:val="294" w:hRule="atLeast"/>
          <w:jc w:val="center"/>
        </w:trPr>
        <w:tc>
          <w:tcPr>
            <w:tcW w:w="2282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Cholesterol (mg/dL)</w:t>
            </w:r>
          </w:p>
        </w:tc>
        <w:tc>
          <w:tcPr>
            <w:tcW w:w="115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μ ±DS</w:t>
            </w:r>
          </w:p>
        </w:tc>
        <w:tc>
          <w:tcPr>
            <w:tcW w:w="110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169.57 ±41.0</w:t>
            </w:r>
          </w:p>
        </w:tc>
        <w:tc>
          <w:tcPr>
            <w:tcW w:w="1274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153.19 ±22.3</w:t>
            </w:r>
          </w:p>
        </w:tc>
        <w:tc>
          <w:tcPr>
            <w:tcW w:w="2820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b/>
                <w:color w:val="111111"/>
                <w:sz w:val="20"/>
                <w:szCs w:val="20"/>
              </w:rPr>
              <w:t>MW: p=0.008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cantSplit/>
          <w:trHeight w:val="294" w:hRule="atLeast"/>
          <w:jc w:val="center"/>
        </w:trPr>
        <w:tc>
          <w:tcPr>
            <w:tcW w:w="2282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Triglycerides (mg/dL)</w:t>
            </w:r>
          </w:p>
        </w:tc>
        <w:tc>
          <w:tcPr>
            <w:tcW w:w="115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μ ±DS</w:t>
            </w:r>
          </w:p>
        </w:tc>
        <w:tc>
          <w:tcPr>
            <w:tcW w:w="1107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85.32 ±48.5</w:t>
            </w:r>
          </w:p>
        </w:tc>
        <w:tc>
          <w:tcPr>
            <w:tcW w:w="1274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72.43 ±29.0</w:t>
            </w:r>
          </w:p>
        </w:tc>
        <w:tc>
          <w:tcPr>
            <w:tcW w:w="2820" w:type="dxa"/>
            <w:tcBorders>
              <w:top w:val="dashed" w:color="000000" w:sz="8" w:space="0"/>
              <w:bottom w:val="dashed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MW: p=0.132</w:t>
            </w:r>
          </w:p>
        </w:tc>
      </w:tr>
      <w:tr>
        <w:tblPrEx>
          <w:tblLayout w:type="fixed"/>
        </w:tblPrEx>
        <w:trPr>
          <w:cantSplit/>
          <w:trHeight w:val="294" w:hRule="atLeast"/>
          <w:jc w:val="center"/>
        </w:trPr>
        <w:tc>
          <w:tcPr>
            <w:tcW w:w="2282" w:type="dxa"/>
            <w:tcBorders>
              <w:top w:val="dashed" w:color="000000" w:sz="8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HDL (mg/dL)</w:t>
            </w:r>
          </w:p>
        </w:tc>
        <w:tc>
          <w:tcPr>
            <w:tcW w:w="1157" w:type="dxa"/>
            <w:tcBorders>
              <w:top w:val="dashed" w:color="000000" w:sz="8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μ ±DS</w:t>
            </w:r>
          </w:p>
        </w:tc>
        <w:tc>
          <w:tcPr>
            <w:tcW w:w="1107" w:type="dxa"/>
            <w:tcBorders>
              <w:top w:val="dashed" w:color="000000" w:sz="8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54.47 ±11.3</w:t>
            </w:r>
          </w:p>
        </w:tc>
        <w:tc>
          <w:tcPr>
            <w:tcW w:w="1274" w:type="dxa"/>
            <w:tcBorders>
              <w:top w:val="dashed" w:color="000000" w:sz="8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53.40 ±9.76</w:t>
            </w:r>
          </w:p>
        </w:tc>
        <w:tc>
          <w:tcPr>
            <w:tcW w:w="2820" w:type="dxa"/>
            <w:tcBorders>
              <w:top w:val="dashed" w:color="000000" w:sz="8" w:space="0"/>
              <w:bottom w:val="single" w:color="000000" w:sz="1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color w:val="111111"/>
                <w:sz w:val="20"/>
                <w:szCs w:val="20"/>
              </w:rPr>
              <w:t>MW: p=0.693</w:t>
            </w:r>
          </w:p>
        </w:tc>
      </w:tr>
      <w:tr>
        <w:tblPrEx>
          <w:tblLayout w:type="fixed"/>
        </w:tblPrEx>
        <w:trPr>
          <w:cantSplit/>
          <w:trHeight w:val="360" w:hRule="atLeast"/>
          <w:jc w:val="center"/>
        </w:trPr>
        <w:tc>
          <w:tcPr>
            <w:tcW w:w="8640" w:type="dxa"/>
            <w:gridSpan w:val="5"/>
            <w:tcBorders>
              <w:bottom w:val="single" w:color="000000" w:sz="8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before="0" w:after="0"/>
              <w:ind w:left="0" w:right="0" w:firstLine="0"/>
              <w:jc w:val="left"/>
            </w:pPr>
            <w:r>
              <w:rPr>
                <w:rFonts w:ascii="Arial" w:hAnsi="Arial" w:eastAsia="Arial" w:cs="Arial"/>
                <w:i/>
                <w:color w:val="000000"/>
                <w:sz w:val="20"/>
                <w:szCs w:val="20"/>
              </w:rPr>
              <w:t xml:space="preserve">μ ±DS = Mean (standard deviation); M (min:max) = Median (min:max); MW = Mann-WhitneyTest; OR/RR = odds-ratio / risc-ratio [95% CI] and p value from Fisher test); V = Cramer V (p value from Chi² test); </w:t>
            </w:r>
          </w:p>
        </w:tc>
      </w:tr>
    </w:tbl>
    <w:p>
      <w:pPr>
        <w:pStyle w:val="2"/>
      </w:pPr>
      <w:bookmarkStart w:id="2" w:name="referinte"/>
      <w:r>
        <w:t>Referințe</w:t>
      </w:r>
      <w:bookmarkEnd w:id="2"/>
    </w:p>
    <w:p>
      <w:pPr>
        <w:pStyle w:val="24"/>
        <w:numPr>
          <w:ilvl w:val="0"/>
          <w:numId w:val="1"/>
        </w:numPr>
      </w:pPr>
      <w:r>
        <w:t xml:space="preserve">R Core Team (2019). R: A language and environment for statistical computing. R Foundation for Statistical Computing, Vienna, Austria. URL </w:t>
      </w:r>
      <w:r>
        <w:fldChar w:fldCharType="begin"/>
      </w:r>
      <w:r>
        <w:instrText xml:space="preserve"> HYPERLINK "https://www.R-project.org/" \h </w:instrText>
      </w:r>
      <w:r>
        <w:fldChar w:fldCharType="separate"/>
      </w:r>
      <w:r>
        <w:rPr>
          <w:rStyle w:val="21"/>
        </w:rPr>
        <w:t>https://www.R-project.org/</w:t>
      </w:r>
      <w:r>
        <w:rPr>
          <w:rStyle w:val="21"/>
        </w:rPr>
        <w:fldChar w:fldCharType="end"/>
      </w:r>
      <w:r>
        <w:t>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79BF21B6"/>
    <w:rsid w:val="F7BFC32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shd w:val="clear" w:fill="F8F8F8"/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204A87"/>
      <w:shd w:val="clear" w:fill="F8F8F8"/>
    </w:rPr>
  </w:style>
  <w:style w:type="character" w:customStyle="1" w:styleId="39">
    <w:name w:val="DataTypeTok"/>
    <w:basedOn w:val="35"/>
    <w:uiPriority w:val="0"/>
    <w:rPr>
      <w:color w:val="204A87"/>
      <w:shd w:val="clear" w:fill="F8F8F8"/>
    </w:rPr>
  </w:style>
  <w:style w:type="character" w:customStyle="1" w:styleId="40">
    <w:name w:val="DecValTok"/>
    <w:basedOn w:val="35"/>
    <w:uiPriority w:val="0"/>
    <w:rPr>
      <w:color w:val="0000CF"/>
      <w:shd w:val="clear" w:fill="F8F8F8"/>
    </w:rPr>
  </w:style>
  <w:style w:type="character" w:customStyle="1" w:styleId="41">
    <w:name w:val="BaseNTok"/>
    <w:basedOn w:val="35"/>
    <w:uiPriority w:val="0"/>
    <w:rPr>
      <w:color w:val="0000CF"/>
      <w:shd w:val="clear" w:fill="F8F8F8"/>
    </w:rPr>
  </w:style>
  <w:style w:type="character" w:customStyle="1" w:styleId="42">
    <w:name w:val="FloatTok"/>
    <w:basedOn w:val="35"/>
    <w:uiPriority w:val="0"/>
    <w:rPr>
      <w:color w:val="0000CF"/>
      <w:shd w:val="clear" w:fill="F8F8F8"/>
    </w:rPr>
  </w:style>
  <w:style w:type="character" w:customStyle="1" w:styleId="43">
    <w:name w:val="ConstantTok"/>
    <w:basedOn w:val="35"/>
    <w:uiPriority w:val="0"/>
    <w:rPr>
      <w:color w:val="000000"/>
      <w:shd w:val="clear" w:fill="F8F8F8"/>
    </w:rPr>
  </w:style>
  <w:style w:type="character" w:customStyle="1" w:styleId="44">
    <w:name w:val="CharTok"/>
    <w:basedOn w:val="35"/>
    <w:uiPriority w:val="0"/>
    <w:rPr>
      <w:color w:val="4E9A06"/>
      <w:shd w:val="clear" w:fill="F8F8F8"/>
    </w:rPr>
  </w:style>
  <w:style w:type="character" w:customStyle="1" w:styleId="45">
    <w:name w:val="SpecialCharTok"/>
    <w:basedOn w:val="35"/>
    <w:uiPriority w:val="0"/>
    <w:rPr>
      <w:color w:val="000000"/>
      <w:shd w:val="clear" w:fill="F8F8F8"/>
    </w:rPr>
  </w:style>
  <w:style w:type="character" w:customStyle="1" w:styleId="46">
    <w:name w:val="StringTok"/>
    <w:basedOn w:val="35"/>
    <w:uiPriority w:val="0"/>
    <w:rPr>
      <w:color w:val="4E9A06"/>
      <w:shd w:val="clear" w:fill="F8F8F8"/>
    </w:rPr>
  </w:style>
  <w:style w:type="character" w:customStyle="1" w:styleId="47">
    <w:name w:val="VerbatimStringTok"/>
    <w:basedOn w:val="35"/>
    <w:uiPriority w:val="0"/>
    <w:rPr>
      <w:color w:val="4E9A06"/>
      <w:shd w:val="clear" w:fill="F8F8F8"/>
    </w:rPr>
  </w:style>
  <w:style w:type="character" w:customStyle="1" w:styleId="48">
    <w:name w:val="SpecialStringTok"/>
    <w:basedOn w:val="35"/>
    <w:uiPriority w:val="0"/>
    <w:rPr>
      <w:color w:val="4E9A06"/>
      <w:shd w:val="clear" w:fill="F8F8F8"/>
    </w:rPr>
  </w:style>
  <w:style w:type="character" w:customStyle="1" w:styleId="49">
    <w:name w:val="ImportTok"/>
    <w:basedOn w:val="35"/>
    <w:uiPriority w:val="0"/>
    <w:rPr>
      <w:shd w:val="clear" w:fill="F8F8F8"/>
    </w:rPr>
  </w:style>
  <w:style w:type="character" w:customStyle="1" w:styleId="50">
    <w:name w:val="CommentTok"/>
    <w:basedOn w:val="35"/>
    <w:uiPriority w:val="0"/>
    <w:rPr>
      <w:i/>
      <w:color w:val="8F5902"/>
      <w:shd w:val="clear" w:fill="F8F8F8"/>
    </w:rPr>
  </w:style>
  <w:style w:type="character" w:customStyle="1" w:styleId="51">
    <w:name w:val="DocumentationTok"/>
    <w:basedOn w:val="35"/>
    <w:uiPriority w:val="0"/>
    <w:rPr>
      <w:b/>
      <w:i/>
      <w:color w:val="8F5902"/>
      <w:shd w:val="clear" w:fill="F8F8F8"/>
    </w:rPr>
  </w:style>
  <w:style w:type="character" w:customStyle="1" w:styleId="52">
    <w:name w:val="AnnotationTok"/>
    <w:basedOn w:val="35"/>
    <w:uiPriority w:val="0"/>
    <w:rPr>
      <w:b/>
      <w:i/>
      <w:color w:val="8F5902"/>
      <w:shd w:val="clear" w:fill="F8F8F8"/>
    </w:rPr>
  </w:style>
  <w:style w:type="character" w:customStyle="1" w:styleId="53">
    <w:name w:val="CommentVarTok"/>
    <w:basedOn w:val="35"/>
    <w:uiPriority w:val="0"/>
    <w:rPr>
      <w:b/>
      <w:i/>
      <w:color w:val="8F5902"/>
      <w:shd w:val="clear" w:fill="F8F8F8"/>
    </w:rPr>
  </w:style>
  <w:style w:type="character" w:customStyle="1" w:styleId="54">
    <w:name w:val="OtherTok"/>
    <w:basedOn w:val="35"/>
    <w:uiPriority w:val="0"/>
    <w:rPr>
      <w:color w:val="8F5902"/>
      <w:shd w:val="clear" w:fill="F8F8F8"/>
    </w:rPr>
  </w:style>
  <w:style w:type="character" w:customStyle="1" w:styleId="55">
    <w:name w:val="FunctionTok"/>
    <w:basedOn w:val="35"/>
    <w:uiPriority w:val="0"/>
    <w:rPr>
      <w:color w:val="000000"/>
      <w:shd w:val="clear" w:fill="F8F8F8"/>
    </w:rPr>
  </w:style>
  <w:style w:type="character" w:customStyle="1" w:styleId="56">
    <w:name w:val="VariableTok"/>
    <w:basedOn w:val="35"/>
    <w:uiPriority w:val="0"/>
    <w:rPr>
      <w:color w:val="000000"/>
      <w:shd w:val="clear" w:fill="F8F8F8"/>
    </w:rPr>
  </w:style>
  <w:style w:type="character" w:customStyle="1" w:styleId="57">
    <w:name w:val="ControlFlowTok"/>
    <w:basedOn w:val="35"/>
    <w:uiPriority w:val="0"/>
    <w:rPr>
      <w:b/>
      <w:color w:val="204A87"/>
      <w:shd w:val="clear" w:fill="F8F8F8"/>
    </w:rPr>
  </w:style>
  <w:style w:type="character" w:customStyle="1" w:styleId="58">
    <w:name w:val="OperatorTok"/>
    <w:basedOn w:val="35"/>
    <w:uiPriority w:val="0"/>
    <w:rPr>
      <w:b/>
      <w:color w:val="CE5C00"/>
      <w:shd w:val="clear" w:fill="F8F8F8"/>
    </w:rPr>
  </w:style>
  <w:style w:type="character" w:customStyle="1" w:styleId="59">
    <w:name w:val="BuiltInTok"/>
    <w:basedOn w:val="35"/>
    <w:uiPriority w:val="0"/>
    <w:rPr>
      <w:shd w:val="clear" w:fill="F8F8F8"/>
    </w:rPr>
  </w:style>
  <w:style w:type="character" w:customStyle="1" w:styleId="60">
    <w:name w:val="ExtensionTok"/>
    <w:basedOn w:val="35"/>
    <w:uiPriority w:val="0"/>
    <w:rPr>
      <w:shd w:val="clear" w:fill="F8F8F8"/>
    </w:rPr>
  </w:style>
  <w:style w:type="character" w:customStyle="1" w:styleId="61">
    <w:name w:val="PreprocessorTok"/>
    <w:basedOn w:val="35"/>
    <w:uiPriority w:val="0"/>
    <w:rPr>
      <w:i/>
      <w:color w:val="8F5902"/>
      <w:shd w:val="clear" w:fill="F8F8F8"/>
    </w:rPr>
  </w:style>
  <w:style w:type="character" w:customStyle="1" w:styleId="62">
    <w:name w:val="AttributeTok"/>
    <w:basedOn w:val="35"/>
    <w:uiPriority w:val="0"/>
    <w:rPr>
      <w:color w:val="C4A000"/>
      <w:shd w:val="clear" w:fill="F8F8F8"/>
    </w:rPr>
  </w:style>
  <w:style w:type="character" w:customStyle="1" w:styleId="63">
    <w:name w:val="RegionMarkerTok"/>
    <w:basedOn w:val="35"/>
    <w:uiPriority w:val="0"/>
    <w:rPr>
      <w:shd w:val="clear" w:fill="F8F8F8"/>
    </w:rPr>
  </w:style>
  <w:style w:type="character" w:customStyle="1" w:styleId="64">
    <w:name w:val="InformationTok"/>
    <w:basedOn w:val="35"/>
    <w:uiPriority w:val="0"/>
    <w:rPr>
      <w:b/>
      <w:i/>
      <w:color w:val="8F5902"/>
      <w:shd w:val="clear" w:fill="F8F8F8"/>
    </w:rPr>
  </w:style>
  <w:style w:type="character" w:customStyle="1" w:styleId="65">
    <w:name w:val="WarningTok"/>
    <w:basedOn w:val="35"/>
    <w:uiPriority w:val="0"/>
    <w:rPr>
      <w:b/>
      <w:i/>
      <w:color w:val="8F5902"/>
      <w:shd w:val="clear" w:fill="F8F8F8"/>
    </w:rPr>
  </w:style>
  <w:style w:type="character" w:customStyle="1" w:styleId="66">
    <w:name w:val="AlertTok"/>
    <w:basedOn w:val="35"/>
    <w:uiPriority w:val="0"/>
    <w:rPr>
      <w:color w:val="EF2929"/>
      <w:shd w:val="clear" w:fill="F8F8F8"/>
    </w:rPr>
  </w:style>
  <w:style w:type="character" w:customStyle="1" w:styleId="67">
    <w:name w:val="ErrorTok"/>
    <w:basedOn w:val="35"/>
    <w:uiPriority w:val="0"/>
    <w:rPr>
      <w:b/>
      <w:color w:val="A40000"/>
      <w:shd w:val="clear" w:fill="F8F8F8"/>
    </w:rPr>
  </w:style>
  <w:style w:type="character" w:customStyle="1" w:styleId="68">
    <w:name w:val="NormalTok"/>
    <w:basedOn w:val="35"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2019-09-30T17:25:00Z</dcterms:created>
  <dc:creator>Csilla Enikő Szabo</dc:creator>
  <cp:lastModifiedBy>calzzone</cp:lastModifiedBy>
  <dcterms:modified xsi:type="dcterms:W3CDTF">2019-09-30T18:26:59Z</dcterms:modified>
  <dc:title>The role of adiponectin, TNF-α and glutathione in the pathogenesis and evolution of type 1 diabetes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1033-11.1.0.8865</vt:lpwstr>
  </property>
</Properties>
</file>