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Role of adiponectin and TNF-alpha in the pathogenesis and evolution of type 1 diabetes mellitus</w:t>
      </w:r>
    </w:p>
    <w:p>
      <w:pPr>
        <w:pStyle w:val="27"/>
        <w:jc w:val="left"/>
      </w:pPr>
      <w:r>
        <w:t>Author</w:t>
      </w:r>
    </w:p>
    <w:p>
      <w:pPr>
        <w:pStyle w:val="3"/>
      </w:pPr>
    </w:p>
    <w:p>
      <w:pPr>
        <w:pStyle w:val="2"/>
      </w:pPr>
      <w:bookmarkStart w:id="0" w:name="methods"/>
      <w:r>
        <w:t>Methods</w:t>
      </w:r>
      <w:bookmarkEnd w:id="0"/>
    </w:p>
    <w:p>
      <w:pPr>
        <w:pStyle w:val="4"/>
      </w:pPr>
      <w:bookmarkStart w:id="1" w:name="abbreviations"/>
      <w:r>
        <w:t>Abbreviations</w:t>
      </w:r>
      <w:bookmarkEnd w:id="1"/>
    </w:p>
    <w:p>
      <w:pPr>
        <w:numPr>
          <w:ilvl w:val="0"/>
          <w:numId w:val="1"/>
        </w:numPr>
      </w:pPr>
      <w:r>
        <w:t>DM: diabetes mellitus</w:t>
      </w:r>
    </w:p>
    <w:p>
      <w:pPr>
        <w:numPr>
          <w:ilvl w:val="0"/>
          <w:numId w:val="1"/>
        </w:numPr>
      </w:pPr>
      <w:r>
        <w:rPr>
          <w:rFonts w:hint="default"/>
          <w:lang w:val="en"/>
        </w:rPr>
        <w:t>AIT: autoimmune thyroiditis</w:t>
      </w:r>
    </w:p>
    <w:p>
      <w:pPr>
        <w:numPr>
          <w:ilvl w:val="0"/>
          <w:numId w:val="1"/>
        </w:numPr>
      </w:pPr>
      <w:r>
        <w:rPr>
          <w:rFonts w:hint="default"/>
          <w:lang w:val="en"/>
        </w:rPr>
        <w:t>CD: celiac disease</w:t>
      </w:r>
    </w:p>
    <w:p>
      <w:pPr>
        <w:numPr>
          <w:ilvl w:val="0"/>
          <w:numId w:val="1"/>
        </w:numPr>
      </w:pPr>
      <w:r>
        <w:t>BMI: body-mass index (kg/m²)</w:t>
      </w:r>
    </w:p>
    <w:p>
      <w:pPr>
        <w:numPr>
          <w:ilvl w:val="0"/>
          <w:numId w:val="1"/>
        </w:numPr>
      </w:pPr>
      <w:r>
        <w:t>TNF-alpha: Tumor necrosis factor alpha</w:t>
      </w:r>
    </w:p>
    <w:p>
      <w:pPr>
        <w:numPr>
          <w:ilvl w:val="0"/>
          <w:numId w:val="1"/>
        </w:numPr>
      </w:pPr>
      <w:r>
        <w:t>HbA1C: glycosilated hemoglobin</w:t>
      </w:r>
    </w:p>
    <w:p>
      <w:pPr>
        <w:numPr>
          <w:ilvl w:val="0"/>
          <w:numId w:val="1"/>
        </w:numPr>
      </w:pPr>
      <w:r>
        <w:t>HDL</w:t>
      </w:r>
      <w:r>
        <w:rPr>
          <w:rFonts w:hint="default"/>
          <w:lang w:val="en"/>
        </w:rPr>
        <w:t>:</w:t>
      </w:r>
      <w:r>
        <w:t xml:space="preserve"> </w:t>
      </w:r>
      <w:r>
        <w:rPr>
          <w:rFonts w:hint="default"/>
        </w:rPr>
        <w:t>high-density lipoprotein</w:t>
      </w:r>
      <w:r>
        <w:rPr>
          <w:rFonts w:hint="default"/>
          <w:lang w:val="en"/>
        </w:rPr>
        <w:t xml:space="preserve"> </w:t>
      </w:r>
      <w:r>
        <w:t>cholesterol</w:t>
      </w:r>
    </w:p>
    <w:p>
      <w:pPr>
        <w:numPr>
          <w:ilvl w:val="0"/>
          <w:numId w:val="1"/>
        </w:numPr>
      </w:pPr>
      <w:r>
        <w:t>A1AT: Alpha-1 antitrypsin</w:t>
      </w:r>
    </w:p>
    <w:p>
      <w:pPr>
        <w:numPr>
          <w:ilvl w:val="0"/>
          <w:numId w:val="1"/>
        </w:numPr>
      </w:pPr>
      <w:r>
        <w:t>MW: Mann-Whitney test</w:t>
      </w:r>
    </w:p>
    <w:p>
      <w:pPr>
        <w:numPr>
          <w:ilvl w:val="0"/>
          <w:numId w:val="1"/>
        </w:numPr>
      </w:pPr>
      <w:r>
        <w:t>95% CI: 95% confidence interval</w:t>
      </w:r>
    </w:p>
    <w:p>
      <w:pPr>
        <w:numPr>
          <w:ilvl w:val="0"/>
          <w:numId w:val="1"/>
        </w:numPr>
      </w:pPr>
      <w:r>
        <w:t>OR: odds-ratio</w:t>
      </w:r>
    </w:p>
    <w:p>
      <w:pPr>
        <w:numPr>
          <w:ilvl w:val="0"/>
          <w:numId w:val="1"/>
        </w:numPr>
      </w:pPr>
      <w:r>
        <w:t>SD: standard deviation</w:t>
      </w:r>
    </w:p>
    <w:p>
      <w:pPr>
        <w:numPr>
          <w:ilvl w:val="0"/>
          <w:numId w:val="1"/>
        </w:numPr>
      </w:pPr>
      <w:r>
        <w:t>SE: stadard error</w:t>
      </w:r>
    </w:p>
    <w:p>
      <w:pPr>
        <w:pStyle w:val="4"/>
      </w:pPr>
      <w:bookmarkStart w:id="2" w:name="study-design"/>
      <w:r>
        <w:t>Study design</w:t>
      </w:r>
      <w:bookmarkEnd w:id="2"/>
    </w:p>
    <w:p>
      <w:pPr>
        <w:pStyle w:val="25"/>
      </w:pPr>
      <w:r>
        <w:t>We performed a retrospective case-control study comparing children with type I DM to otherwise healthy controls. Patients were included between … from the electronic records of our institution (The First Pediatrics Clinic of the County Children’s Hospital in Cluj-Napoca, Romania).</w:t>
      </w:r>
    </w:p>
    <w:p>
      <w:pPr>
        <w:pStyle w:val="4"/>
      </w:pPr>
      <w:bookmarkStart w:id="3" w:name="patient-data-collection"/>
      <w:r>
        <w:t>Patient data collection</w:t>
      </w:r>
      <w:bookmarkEnd w:id="3"/>
    </w:p>
    <w:p>
      <w:pPr>
        <w:pStyle w:val="25"/>
      </w:pPr>
      <w:r>
        <w:t>We calculated Z-scores for BMI, Weight and Length / Height using the ‘anthro’ R package (</w:t>
      </w:r>
      <w:r>
        <w:fldChar w:fldCharType="begin"/>
      </w:r>
      <w:r>
        <w:instrText xml:space="preserve"> HYPERLINK "https://CRAN.R-project.org/package=anthro" \h </w:instrText>
      </w:r>
      <w:r>
        <w:fldChar w:fldCharType="separate"/>
      </w:r>
      <w:r>
        <w:rPr>
          <w:rStyle w:val="21"/>
        </w:rPr>
        <w:t>https://CRAN.R-project.org/package=anthro</w:t>
      </w:r>
      <w:r>
        <w:rPr>
          <w:rStyle w:val="21"/>
        </w:rPr>
        <w:fldChar w:fldCharType="end"/>
      </w:r>
      <w:r>
        <w:t>) with 2006 references for patients aged 0 to 5 or using the R tools provided by WHO (</w:t>
      </w:r>
      <w:r>
        <w:fldChar w:fldCharType="begin"/>
      </w:r>
      <w:r>
        <w:instrText xml:space="preserve"> HYPERLINK "https://www.who.int/growthref/tools/" \h </w:instrText>
      </w:r>
      <w:r>
        <w:fldChar w:fldCharType="separate"/>
      </w:r>
      <w:r>
        <w:rPr>
          <w:rStyle w:val="21"/>
        </w:rPr>
        <w:t>https://www.who.int/growthref/tools/</w:t>
      </w:r>
      <w:r>
        <w:rPr>
          <w:rStyle w:val="21"/>
        </w:rPr>
        <w:fldChar w:fldCharType="end"/>
      </w:r>
      <w:r>
        <w:t>) with 2007 references for patients aged 5 to 18.</w:t>
      </w:r>
    </w:p>
    <w:p>
      <w:pPr>
        <w:pStyle w:val="3"/>
      </w:pPr>
      <w:r>
        <w:t>Based on our laboratory’s reference values, patients were classified as low risk of type 2 DM if adiponectin values were &gt;10 μg/mL and medium or high risk otherwise. A similar classification was performed using TNF-alpha values: normal risk ≤8.1 pg/mL, high risk otherwise.</w:t>
      </w:r>
    </w:p>
    <w:p>
      <w:pPr>
        <w:pStyle w:val="3"/>
      </w:pPr>
      <w:r>
        <w:t>For all patients, legal caretakers signed an informed consent form at admission allowing anonymized research on data included in our hospital’s electronic database.</w:t>
      </w:r>
    </w:p>
    <w:p>
      <w:pPr>
        <w:pStyle w:val="4"/>
      </w:pPr>
      <w:bookmarkStart w:id="4" w:name="data-analysis"/>
      <w:r>
        <w:t>Data analysis</w:t>
      </w:r>
      <w:bookmarkEnd w:id="4"/>
    </w:p>
    <w:p>
      <w:pPr>
        <w:pStyle w:val="25"/>
      </w:pPr>
      <w:r>
        <w:t>Patient’s data was manually collected into a spreadsheet for prepossessing then imported into R 3.6.2 for statistical analysis. We used descriptive methods as appropriate: numeric and percent frequencies, means ± standard deviation and medians with extreme values. We also reported geometric means and geometric standard deviations for adiponectin and TNF-alpha values. We compared the DM group to the control group using univariate methods: odds-ratio (OR) with Fisher test for binary variables, Cramér’s V coefficient with Chi² test for other categorical variables, T and Mann-Whitney (MW) for normally and non-normally distributed numerical variables, respectively. Correlations between adiponectin or TNF-alpha and other numerical variables were studied using Spearman’s rho coefficients for all patients as well as separately for both groups. We used logistic models for OR (95% CIs) of DM by Adiponectin or TNF alpha, unadjusted (models 1, used as reference for deviance tests with the multivariate models) and adjusted for BMI Z score (models 2), Age at inclusion and Sex (models 3), and all three covariates combined (models 4). Both adiponectin and TNF-alpha values were transformed to base 2 logarithms prior to logistic regression, therefore odds ratios are referenced to every doubling of the original values.</w:t>
      </w:r>
    </w:p>
    <w:p>
      <w:pPr>
        <w:pStyle w:val="2"/>
      </w:pPr>
      <w:bookmarkStart w:id="5" w:name="results"/>
      <w:r>
        <w:t>Results</w:t>
      </w:r>
      <w:bookmarkEnd w:id="5"/>
    </w:p>
    <w:p>
      <w:pPr>
        <w:pStyle w:val="25"/>
      </w:pPr>
      <w:r>
        <w:t>We included 52 type I DM patients (mean age at inclusion 11.94 ±4.45, 57.7% girls) and 66 controls (mean age at inclusion 11.09 ±4.82, 48.5% girls). DM patients had significantly higher mean Z scores for weight compared to control patients (0.898 ±1.24 vs. -0.317 ±1.05, p&lt;0.001) as well as for BMI (0.298 ±1.15 vs. -0.459 ±1.61, p=0.011).</w:t>
      </w:r>
    </w:p>
    <w:p>
      <w:pPr>
        <w:pStyle w:val="3"/>
      </w:pPr>
      <w:r>
        <w:t>Table 1: Demographic and anthropometric description of the sample comparing the two groups. Z-scores were calculated using the ‘anthro’ R package (</w:t>
      </w:r>
      <w:r>
        <w:fldChar w:fldCharType="begin"/>
      </w:r>
      <w:r>
        <w:instrText xml:space="preserve"> HYPERLINK "https://CRAN.R-project.org/package=anthro" \h </w:instrText>
      </w:r>
      <w:r>
        <w:fldChar w:fldCharType="separate"/>
      </w:r>
      <w:r>
        <w:rPr>
          <w:rStyle w:val="21"/>
        </w:rPr>
        <w:t>https://CRAN.R-project.org/package=anthro</w:t>
      </w:r>
      <w:r>
        <w:rPr>
          <w:rStyle w:val="21"/>
        </w:rPr>
        <w:fldChar w:fldCharType="end"/>
      </w:r>
      <w:r>
        <w:t>) with 2006 references for ages 0 to 5 and using the R tools provided by WHO (</w:t>
      </w:r>
      <w:r>
        <w:fldChar w:fldCharType="begin"/>
      </w:r>
      <w:r>
        <w:instrText xml:space="preserve"> HYPERLINK "https://www.who.int/growthref/tools/" \h </w:instrText>
      </w:r>
      <w:r>
        <w:fldChar w:fldCharType="separate"/>
      </w:r>
      <w:r>
        <w:rPr>
          <w:rStyle w:val="21"/>
        </w:rPr>
        <w:t>https://www.who.int/growthref/tools/</w:t>
      </w:r>
      <w:r>
        <w:rPr>
          <w:rStyle w:val="21"/>
        </w:rPr>
        <w:fldChar w:fldCharType="end"/>
      </w:r>
      <w:r>
        <w:t>) with 2007 references for ages 5 to 18.</w:t>
      </w:r>
    </w:p>
    <w:tbl>
      <w:tblPr>
        <w:tblStyle w:val="13"/>
        <w:tblW w:w="10800" w:type="dxa"/>
        <w:jc w:val="center"/>
        <w:tblInd w:w="0" w:type="dxa"/>
        <w:tblLayout w:type="fixed"/>
        <w:tblCellMar>
          <w:top w:w="0" w:type="dxa"/>
          <w:left w:w="108" w:type="dxa"/>
          <w:bottom w:w="0" w:type="dxa"/>
          <w:right w:w="108" w:type="dxa"/>
        </w:tblCellMar>
      </w:tblPr>
      <w:tblGrid>
        <w:gridCol w:w="2445"/>
        <w:gridCol w:w="1124"/>
        <w:gridCol w:w="1287"/>
        <w:gridCol w:w="1400"/>
        <w:gridCol w:w="1354"/>
        <w:gridCol w:w="3190"/>
      </w:tblGrid>
      <w:tr>
        <w:tblPrEx>
          <w:tblLayout w:type="fixed"/>
          <w:tblCellMar>
            <w:top w:w="0" w:type="dxa"/>
            <w:left w:w="108" w:type="dxa"/>
            <w:bottom w:w="0" w:type="dxa"/>
            <w:right w:w="108" w:type="dxa"/>
          </w:tblCellMar>
        </w:tblPrEx>
        <w:trPr>
          <w:cantSplit/>
          <w:trHeight w:val="288" w:hRule="exact"/>
          <w:tblHeader/>
          <w:jc w:val="center"/>
        </w:trPr>
        <w:tc>
          <w:tcPr>
            <w:tcW w:w="24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Variable</w:t>
            </w:r>
          </w:p>
        </w:tc>
        <w:tc>
          <w:tcPr>
            <w:tcW w:w="112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Details</w:t>
            </w:r>
          </w:p>
        </w:tc>
        <w:tc>
          <w:tcPr>
            <w:tcW w:w="128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DM</w:t>
            </w:r>
          </w:p>
        </w:tc>
        <w:tc>
          <w:tcPr>
            <w:tcW w:w="140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control</w:t>
            </w:r>
          </w:p>
        </w:tc>
        <w:tc>
          <w:tcPr>
            <w:tcW w:w="135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Total</w:t>
            </w:r>
          </w:p>
        </w:tc>
        <w:tc>
          <w:tcPr>
            <w:tcW w:w="319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4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w:t>
            </w:r>
          </w:p>
        </w:tc>
        <w:tc>
          <w:tcPr>
            <w:tcW w:w="112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28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52 (44.1%)</w:t>
            </w:r>
          </w:p>
        </w:tc>
        <w:tc>
          <w:tcPr>
            <w:tcW w:w="140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 (55.9%)</w:t>
            </w:r>
          </w:p>
        </w:tc>
        <w:tc>
          <w:tcPr>
            <w:tcW w:w="135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118</w:t>
            </w:r>
          </w:p>
        </w:tc>
        <w:tc>
          <w:tcPr>
            <w:tcW w:w="319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44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Age at inclusion (years)</w:t>
            </w:r>
          </w:p>
        </w:tc>
        <w:tc>
          <w:tcPr>
            <w:tcW w:w="1124"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287"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11.94 ±4.45</w:t>
            </w:r>
          </w:p>
        </w:tc>
        <w:tc>
          <w:tcPr>
            <w:tcW w:w="1400"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11.09 ±4.82</w:t>
            </w:r>
          </w:p>
        </w:tc>
        <w:tc>
          <w:tcPr>
            <w:tcW w:w="1354"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11.47 ±4.66</w:t>
            </w:r>
          </w:p>
        </w:tc>
        <w:tc>
          <w:tcPr>
            <w:tcW w:w="3190"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p=0.327</w:t>
            </w:r>
          </w:p>
        </w:tc>
      </w:tr>
      <w:tr>
        <w:tblPrEx>
          <w:tblLayout w:type="fixed"/>
          <w:tblCellMar>
            <w:top w:w="0" w:type="dxa"/>
            <w:left w:w="108" w:type="dxa"/>
            <w:bottom w:w="0" w:type="dxa"/>
            <w:right w:w="108" w:type="dxa"/>
          </w:tblCellMar>
        </w:tblPrEx>
        <w:trPr>
          <w:cantSplit/>
          <w:trHeight w:val="288" w:hRule="exact"/>
          <w:jc w:val="center"/>
        </w:trPr>
        <w:tc>
          <w:tcPr>
            <w:tcW w:w="244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Sex</w:t>
            </w:r>
          </w:p>
        </w:tc>
        <w:tc>
          <w:tcPr>
            <w:tcW w:w="112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287"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(57.7%)</w:t>
            </w:r>
          </w:p>
        </w:tc>
        <w:tc>
          <w:tcPr>
            <w:tcW w:w="140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(48.5%)</w:t>
            </w:r>
          </w:p>
        </w:tc>
        <w:tc>
          <w:tcPr>
            <w:tcW w:w="13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319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OR=1.45 [0.70, 3.01] (p=0.357)</w:t>
            </w:r>
          </w:p>
        </w:tc>
      </w:tr>
      <w:tr>
        <w:tblPrEx>
          <w:tblLayout w:type="fixed"/>
          <w:tblCellMar>
            <w:top w:w="0" w:type="dxa"/>
            <w:left w:w="108" w:type="dxa"/>
            <w:bottom w:w="0" w:type="dxa"/>
            <w:right w:w="108" w:type="dxa"/>
          </w:tblCellMar>
        </w:tblPrEx>
        <w:trPr>
          <w:cantSplit/>
          <w:trHeight w:val="288" w:hRule="exact"/>
          <w:jc w:val="center"/>
        </w:trPr>
        <w:tc>
          <w:tcPr>
            <w:tcW w:w="244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12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287"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40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(51.5%)</w:t>
            </w:r>
          </w:p>
        </w:tc>
        <w:tc>
          <w:tcPr>
            <w:tcW w:w="13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319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44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Place of living</w:t>
            </w:r>
          </w:p>
        </w:tc>
        <w:tc>
          <w:tcPr>
            <w:tcW w:w="112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287"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24 (46.2%)</w:t>
            </w:r>
          </w:p>
        </w:tc>
        <w:tc>
          <w:tcPr>
            <w:tcW w:w="140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 (39.4%)</w:t>
            </w:r>
          </w:p>
        </w:tc>
        <w:tc>
          <w:tcPr>
            <w:tcW w:w="13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319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[0.63, 2.75] (p=0.574)</w:t>
            </w:r>
          </w:p>
        </w:tc>
      </w:tr>
      <w:tr>
        <w:tblPrEx>
          <w:tblLayout w:type="fixed"/>
          <w:tblCellMar>
            <w:top w:w="0" w:type="dxa"/>
            <w:left w:w="108" w:type="dxa"/>
            <w:bottom w:w="0" w:type="dxa"/>
            <w:right w:w="108" w:type="dxa"/>
          </w:tblCellMar>
        </w:tblPrEx>
        <w:trPr>
          <w:cantSplit/>
          <w:trHeight w:val="288" w:hRule="exact"/>
          <w:jc w:val="center"/>
        </w:trPr>
        <w:tc>
          <w:tcPr>
            <w:tcW w:w="244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12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287"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(53.8%)</w:t>
            </w:r>
          </w:p>
        </w:tc>
        <w:tc>
          <w:tcPr>
            <w:tcW w:w="140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(60.6%)</w:t>
            </w:r>
          </w:p>
        </w:tc>
        <w:tc>
          <w:tcPr>
            <w:tcW w:w="13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319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4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Weight - Z score</w:t>
            </w:r>
          </w:p>
        </w:tc>
        <w:tc>
          <w:tcPr>
            <w:tcW w:w="1124"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287"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0.898 ±1.24</w:t>
            </w:r>
          </w:p>
        </w:tc>
        <w:tc>
          <w:tcPr>
            <w:tcW w:w="140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-0.317 ±1.05</w:t>
            </w:r>
          </w:p>
        </w:tc>
        <w:tc>
          <w:tcPr>
            <w:tcW w:w="1354"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0.158 ±1.27</w:t>
            </w:r>
          </w:p>
        </w:tc>
        <w:tc>
          <w:tcPr>
            <w:tcW w:w="319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T-test: p&lt;0.001</w:t>
            </w:r>
          </w:p>
        </w:tc>
      </w:tr>
      <w:tr>
        <w:tblPrEx>
          <w:tblLayout w:type="fixed"/>
          <w:tblCellMar>
            <w:top w:w="0" w:type="dxa"/>
            <w:left w:w="108" w:type="dxa"/>
            <w:bottom w:w="0" w:type="dxa"/>
            <w:right w:w="108" w:type="dxa"/>
          </w:tblCellMar>
        </w:tblPrEx>
        <w:trPr>
          <w:cantSplit/>
          <w:trHeight w:val="288" w:hRule="exact"/>
          <w:jc w:val="center"/>
        </w:trPr>
        <w:tc>
          <w:tcPr>
            <w:tcW w:w="24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Height - Z score</w:t>
            </w:r>
          </w:p>
        </w:tc>
        <w:tc>
          <w:tcPr>
            <w:tcW w:w="1124"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287"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0.426 ±1.27</w:t>
            </w:r>
          </w:p>
        </w:tc>
        <w:tc>
          <w:tcPr>
            <w:tcW w:w="140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0.409 ±1.26</w:t>
            </w:r>
          </w:p>
        </w:tc>
        <w:tc>
          <w:tcPr>
            <w:tcW w:w="1354"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0.417 ±1.26</w:t>
            </w:r>
          </w:p>
        </w:tc>
        <w:tc>
          <w:tcPr>
            <w:tcW w:w="319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p=0.945</w:t>
            </w:r>
          </w:p>
        </w:tc>
      </w:tr>
      <w:tr>
        <w:tblPrEx>
          <w:tblLayout w:type="fixed"/>
          <w:tblCellMar>
            <w:top w:w="0" w:type="dxa"/>
            <w:left w:w="108" w:type="dxa"/>
            <w:bottom w:w="0" w:type="dxa"/>
            <w:right w:w="108" w:type="dxa"/>
          </w:tblCellMar>
        </w:tblPrEx>
        <w:trPr>
          <w:cantSplit/>
          <w:trHeight w:val="288" w:hRule="exact"/>
          <w:jc w:val="center"/>
        </w:trPr>
        <w:tc>
          <w:tcPr>
            <w:tcW w:w="244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BMI - Z score</w:t>
            </w:r>
          </w:p>
        </w:tc>
        <w:tc>
          <w:tcPr>
            <w:tcW w:w="1124"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287"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0.298 ±1.15</w:t>
            </w:r>
          </w:p>
        </w:tc>
        <w:tc>
          <w:tcPr>
            <w:tcW w:w="140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-0.459 ±1.61</w:t>
            </w:r>
          </w:p>
        </w:tc>
        <w:tc>
          <w:tcPr>
            <w:tcW w:w="1354"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-0.125 ±1.47</w:t>
            </w:r>
          </w:p>
        </w:tc>
        <w:tc>
          <w:tcPr>
            <w:tcW w:w="319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Welch: p=0.004</w:t>
            </w:r>
          </w:p>
        </w:tc>
      </w:tr>
      <w:tr>
        <w:tblPrEx>
          <w:tblLayout w:type="fixed"/>
          <w:tblCellMar>
            <w:top w:w="0" w:type="dxa"/>
            <w:left w:w="108" w:type="dxa"/>
            <w:bottom w:w="0" w:type="dxa"/>
            <w:right w:w="108" w:type="dxa"/>
          </w:tblCellMar>
        </w:tblPrEx>
        <w:trPr>
          <w:cantSplit/>
          <w:trHeight w:val="288" w:hRule="exac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i/>
                <w:color w:val="000000"/>
                <w:sz w:val="20"/>
                <w:szCs w:val="20"/>
              </w:rPr>
              <w:t xml:space="preserve">μ ±SD = Mean (standard deviation); Welch = Welch T-Test (not assuming equal variances); OR/RR = odds-ratio / risk-ratio [95% CI] and p value from Fisher test); </w:t>
            </w:r>
          </w:p>
        </w:tc>
      </w:tr>
    </w:tbl>
    <w:p>
      <w:pPr>
        <w:pStyle w:val="3"/>
      </w:pPr>
      <w:r>
        <w:t>Both groups had statistically similar adiponectin levels (median: 13.57, range=6.82:26.61 vs. 13.85 range=7.05:22.31, p=0.774) and a similar proportion of high / medium risk patients based on adiponectin values (19.2% vs. 15.2%, OR=1.33, p=0.625). DM patients had significantly higher TNF-alpha levels compared to controls (median: 9.7, range=5.3:27.1 vs. 7.1, range=5.6:15.5, p&lt;0.001) and a significantly higher proportion of high risk patients based on TNF-alpha values (80.8%, vs. 12.1%, OR=30.45, p&lt;0.001).</w:t>
      </w:r>
    </w:p>
    <w:p>
      <w:pPr>
        <w:pStyle w:val="3"/>
      </w:pPr>
      <w:r>
        <w:t>Table 2: Adiponectin (μg/mL) and TNF-alpha (pg/mL) values by group, as well as risk of type 2 DM, based their values. Since both adiponectin and TNF-alpha distributions are skewed, we also provided geometric means and standard deviations.</w:t>
      </w:r>
    </w:p>
    <w:tbl>
      <w:tblPr>
        <w:tblStyle w:val="13"/>
        <w:tblW w:w="10800" w:type="dxa"/>
        <w:jc w:val="center"/>
        <w:tblInd w:w="0" w:type="dxa"/>
        <w:tblLayout w:type="fixed"/>
        <w:tblCellMar>
          <w:top w:w="0" w:type="dxa"/>
          <w:left w:w="108" w:type="dxa"/>
          <w:bottom w:w="0" w:type="dxa"/>
          <w:right w:w="108" w:type="dxa"/>
        </w:tblCellMar>
      </w:tblPr>
      <w:tblGrid>
        <w:gridCol w:w="2164"/>
        <w:gridCol w:w="1456"/>
        <w:gridCol w:w="1954"/>
        <w:gridCol w:w="1954"/>
        <w:gridCol w:w="3272"/>
      </w:tblGrid>
      <w:tr>
        <w:tblPrEx>
          <w:tblLayout w:type="fixed"/>
          <w:tblCellMar>
            <w:top w:w="0" w:type="dxa"/>
            <w:left w:w="108" w:type="dxa"/>
            <w:bottom w:w="0" w:type="dxa"/>
            <w:right w:w="108" w:type="dxa"/>
          </w:tblCellMar>
        </w:tblPrEx>
        <w:trPr>
          <w:cantSplit/>
          <w:trHeight w:val="288" w:hRule="exact"/>
          <w:tblHeader/>
          <w:jc w:val="center"/>
        </w:trPr>
        <w:tc>
          <w:tcPr>
            <w:tcW w:w="216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Variable</w:t>
            </w:r>
          </w:p>
        </w:tc>
        <w:tc>
          <w:tcPr>
            <w:tcW w:w="145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Details</w:t>
            </w:r>
          </w:p>
        </w:tc>
        <w:tc>
          <w:tcPr>
            <w:tcW w:w="195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DM</w:t>
            </w:r>
          </w:p>
        </w:tc>
        <w:tc>
          <w:tcPr>
            <w:tcW w:w="195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control</w:t>
            </w:r>
          </w:p>
        </w:tc>
        <w:tc>
          <w:tcPr>
            <w:tcW w:w="327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16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w:t>
            </w:r>
          </w:p>
        </w:tc>
        <w:tc>
          <w:tcPr>
            <w:tcW w:w="145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95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52 (44.1%)</w:t>
            </w:r>
          </w:p>
        </w:tc>
        <w:tc>
          <w:tcPr>
            <w:tcW w:w="195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 (55.9%)</w:t>
            </w:r>
          </w:p>
        </w:tc>
        <w:tc>
          <w:tcPr>
            <w:tcW w:w="327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Adiponectin (μg/mL)</w:t>
            </w:r>
          </w:p>
        </w:tc>
        <w:tc>
          <w:tcPr>
            <w:tcW w:w="145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95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14.07 ±4.69</w:t>
            </w:r>
          </w:p>
        </w:tc>
        <w:tc>
          <w:tcPr>
            <w:tcW w:w="195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13.78 ±3.39</w:t>
            </w:r>
          </w:p>
        </w:tc>
        <w:tc>
          <w:tcPr>
            <w:tcW w:w="3272"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p=0.774</w:t>
            </w: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145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(range)</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13.57 (6.82:26.61)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13.85 (7.05:22.31)</w:t>
            </w:r>
          </w:p>
        </w:tc>
        <w:tc>
          <w:tcPr>
            <w:tcW w:w="3272"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4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Gμ ±SD</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13.33 ±1.4</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13.34 ±1.3</w:t>
            </w:r>
          </w:p>
        </w:tc>
        <w:tc>
          <w:tcPr>
            <w:tcW w:w="327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Adiponectin risk</w:t>
            </w:r>
          </w:p>
        </w:tc>
        <w:tc>
          <w:tcPr>
            <w:tcW w:w="14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(19.2%)</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(15.2%)</w:t>
            </w:r>
          </w:p>
        </w:tc>
        <w:tc>
          <w:tcPr>
            <w:tcW w:w="327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OR=1.33 [0.51, 3.49] (p=0.625)</w:t>
            </w: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4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(80.8%)</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(84.8%)</w:t>
            </w:r>
          </w:p>
        </w:tc>
        <w:tc>
          <w:tcPr>
            <w:tcW w:w="327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TNF-alpha (pg/mL)</w:t>
            </w:r>
          </w:p>
        </w:tc>
        <w:tc>
          <w:tcPr>
            <w:tcW w:w="14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11.09 ±4.21</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7.47 ±1.85</w:t>
            </w:r>
          </w:p>
        </w:tc>
        <w:tc>
          <w:tcPr>
            <w:tcW w:w="327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145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(range)</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7.1 (5.6:15.5)</w:t>
            </w:r>
          </w:p>
        </w:tc>
        <w:tc>
          <w:tcPr>
            <w:tcW w:w="3272"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4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Gμ ±SD</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10.46 ±1.4</w:t>
            </w:r>
          </w:p>
        </w:tc>
        <w:tc>
          <w:tcPr>
            <w:tcW w:w="195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7.30 ±1.22</w:t>
            </w:r>
          </w:p>
        </w:tc>
        <w:tc>
          <w:tcPr>
            <w:tcW w:w="327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164"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TNF-alpha risk</w:t>
            </w:r>
          </w:p>
        </w:tc>
        <w:tc>
          <w:tcPr>
            <w:tcW w:w="14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high</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(80.8%)</w:t>
            </w:r>
          </w:p>
        </w:tc>
        <w:tc>
          <w:tcPr>
            <w:tcW w:w="195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(12.1%)</w:t>
            </w:r>
          </w:p>
        </w:tc>
        <w:tc>
          <w:tcPr>
            <w:tcW w:w="3272"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OR=30.45 [11.08, 83.68] (p&lt;0.001)</w:t>
            </w:r>
          </w:p>
        </w:tc>
      </w:tr>
      <w:tr>
        <w:tblPrEx>
          <w:tblLayout w:type="fixed"/>
          <w:tblCellMar>
            <w:top w:w="0" w:type="dxa"/>
            <w:left w:w="108" w:type="dxa"/>
            <w:bottom w:w="0" w:type="dxa"/>
            <w:right w:w="108" w:type="dxa"/>
          </w:tblCellMar>
        </w:tblPrEx>
        <w:trPr>
          <w:cantSplit/>
          <w:trHeight w:val="288" w:hRule="exact"/>
          <w:jc w:val="center"/>
        </w:trPr>
        <w:tc>
          <w:tcPr>
            <w:tcW w:w="2164"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45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normal</w:t>
            </w:r>
          </w:p>
        </w:tc>
        <w:tc>
          <w:tcPr>
            <w:tcW w:w="195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(19.2%)</w:t>
            </w:r>
          </w:p>
        </w:tc>
        <w:tc>
          <w:tcPr>
            <w:tcW w:w="195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58 (87.9%)</w:t>
            </w:r>
          </w:p>
        </w:tc>
        <w:tc>
          <w:tcPr>
            <w:tcW w:w="3272"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10800" w:type="dxa"/>
            <w:gridSpan w:val="5"/>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i/>
                <w:color w:val="000000"/>
                <w:sz w:val="20"/>
                <w:szCs w:val="20"/>
              </w:rPr>
              <w:t xml:space="preserve">μ ±SD = Mean (standard deviation); Gμ ±SD = Geometric mean (geometric standard deviation); M (range) = Median (min:max); MW = Mann-Whitney Test; OR/RR = odds-ratio / risk-ratio [95% CI] and p value from Fisher test); </w:t>
            </w:r>
          </w:p>
        </w:tc>
      </w:tr>
    </w:tbl>
    <w:p>
      <w:pPr>
        <w:pStyle w:val="3"/>
      </w:pPr>
      <w:r>
        <w:drawing>
          <wp:inline distT="0" distB="0" distL="114300" distR="114300">
            <wp:extent cx="2762250" cy="2301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2762383" cy="2301986"/>
                    </a:xfrm>
                    <a:prstGeom prst="rect">
                      <a:avLst/>
                    </a:prstGeom>
                    <a:noFill/>
                    <a:ln w="9525">
                      <a:noFill/>
                    </a:ln>
                  </pic:spPr>
                </pic:pic>
              </a:graphicData>
            </a:graphic>
          </wp:inline>
        </w:drawing>
      </w:r>
    </w:p>
    <w:p>
      <w:pPr>
        <w:pStyle w:val="3"/>
      </w:pPr>
      <w:r>
        <w:t>Figure 1: Adiponectin (μg/mL) and TNF-alpha (pg/mL) values by groups (◆ mean, — median, + outliers).</w:t>
      </w:r>
    </w:p>
    <w:p>
      <w:pPr>
        <w:pStyle w:val="3"/>
      </w:pPr>
      <w:r>
        <w:drawing>
          <wp:inline distT="0" distB="0" distL="114300" distR="114300">
            <wp:extent cx="4603750" cy="18415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4603972" cy="1841588"/>
                    </a:xfrm>
                    <a:prstGeom prst="rect">
                      <a:avLst/>
                    </a:prstGeom>
                    <a:noFill/>
                    <a:ln w="9525">
                      <a:noFill/>
                    </a:ln>
                  </pic:spPr>
                </pic:pic>
              </a:graphicData>
            </a:graphic>
          </wp:inline>
        </w:drawing>
      </w:r>
    </w:p>
    <w:p>
      <w:pPr>
        <w:pStyle w:val="3"/>
      </w:pPr>
      <w:r>
        <w:t>Figure 2: Adiponectin (μg/mL) and TNF-alpha (pg/mL) values by groups (│ mean, ┆ median).</w:t>
      </w:r>
    </w:p>
    <w:p>
      <w:pPr>
        <w:pStyle w:val="3"/>
      </w:pPr>
      <w:r>
        <w:t>DM patients also have significantly lower Alpha-1 antitrypsin levels compared to controls (median: 134, range=104:201 vs. 155.5, range=98:240, p&lt;0.001) and higher Total cholesterol (median: 169, range=111:353 vs. 155, range=99:200, p&lt;0.001) and HbA1C (median: 8.7, range=6.7:15.4 vs. 4.85, range=4:5.9, p&lt;0.001).</w:t>
      </w:r>
    </w:p>
    <w:p>
      <w:pPr>
        <w:pStyle w:val="3"/>
      </w:pPr>
      <w:r>
        <w:t>Table 3: Other laboratory values by groups.</w:t>
      </w:r>
    </w:p>
    <w:tbl>
      <w:tblPr>
        <w:tblStyle w:val="13"/>
        <w:tblW w:w="10800" w:type="dxa"/>
        <w:jc w:val="center"/>
        <w:tblInd w:w="0" w:type="dxa"/>
        <w:tblLayout w:type="fixed"/>
        <w:tblCellMar>
          <w:top w:w="0" w:type="dxa"/>
          <w:left w:w="108" w:type="dxa"/>
          <w:bottom w:w="0" w:type="dxa"/>
          <w:right w:w="108" w:type="dxa"/>
        </w:tblCellMar>
      </w:tblPr>
      <w:tblGrid>
        <w:gridCol w:w="3851"/>
        <w:gridCol w:w="1362"/>
        <w:gridCol w:w="1820"/>
        <w:gridCol w:w="1899"/>
        <w:gridCol w:w="1868"/>
      </w:tblGrid>
      <w:tr>
        <w:tblPrEx>
          <w:tblLayout w:type="fixed"/>
          <w:tblCellMar>
            <w:top w:w="0" w:type="dxa"/>
            <w:left w:w="108" w:type="dxa"/>
            <w:bottom w:w="0" w:type="dxa"/>
            <w:right w:w="108" w:type="dxa"/>
          </w:tblCellMar>
        </w:tblPrEx>
        <w:trPr>
          <w:cantSplit/>
          <w:trHeight w:val="288" w:hRule="exact"/>
          <w:tblHeader/>
          <w:jc w:val="center"/>
        </w:trPr>
        <w:tc>
          <w:tcPr>
            <w:tcW w:w="385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Variable</w:t>
            </w:r>
          </w:p>
        </w:tc>
        <w:tc>
          <w:tcPr>
            <w:tcW w:w="136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Details</w:t>
            </w:r>
          </w:p>
        </w:tc>
        <w:tc>
          <w:tcPr>
            <w:tcW w:w="182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DM</w:t>
            </w:r>
          </w:p>
        </w:tc>
        <w:tc>
          <w:tcPr>
            <w:tcW w:w="189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control</w:t>
            </w:r>
          </w:p>
        </w:tc>
        <w:tc>
          <w:tcPr>
            <w:tcW w:w="18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385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w:t>
            </w:r>
          </w:p>
        </w:tc>
        <w:tc>
          <w:tcPr>
            <w:tcW w:w="136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82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52 (44.1%)</w:t>
            </w:r>
          </w:p>
        </w:tc>
        <w:tc>
          <w:tcPr>
            <w:tcW w:w="189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 (55.9%)</w:t>
            </w:r>
          </w:p>
        </w:tc>
        <w:tc>
          <w:tcPr>
            <w:tcW w:w="18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385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Alpha-1 antitrypsin (mg/dL)</w:t>
            </w:r>
          </w:p>
        </w:tc>
        <w:tc>
          <w:tcPr>
            <w:tcW w:w="136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820"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133.50 ±18.2</w:t>
            </w:r>
          </w:p>
        </w:tc>
        <w:tc>
          <w:tcPr>
            <w:tcW w:w="1899"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156.61 ±27.2</w:t>
            </w:r>
          </w:p>
        </w:tc>
        <w:tc>
          <w:tcPr>
            <w:tcW w:w="1868"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385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36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(range)</w:t>
            </w:r>
          </w:p>
        </w:tc>
        <w:tc>
          <w:tcPr>
            <w:tcW w:w="182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134 (104:201)</w:t>
            </w:r>
          </w:p>
        </w:tc>
        <w:tc>
          <w:tcPr>
            <w:tcW w:w="1899"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155.5 (98:240)</w:t>
            </w:r>
          </w:p>
        </w:tc>
        <w:tc>
          <w:tcPr>
            <w:tcW w:w="18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385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Triglycerides (mg/dL)</w:t>
            </w:r>
          </w:p>
        </w:tc>
        <w:tc>
          <w:tcPr>
            <w:tcW w:w="136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82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89.23 ±51.7</w:t>
            </w:r>
          </w:p>
        </w:tc>
        <w:tc>
          <w:tcPr>
            <w:tcW w:w="1899"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73.30 ±32.5</w:t>
            </w:r>
          </w:p>
        </w:tc>
        <w:tc>
          <w:tcPr>
            <w:tcW w:w="18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p=0.109</w:t>
            </w:r>
          </w:p>
        </w:tc>
      </w:tr>
      <w:tr>
        <w:tblPrEx>
          <w:tblLayout w:type="fixed"/>
          <w:tblCellMar>
            <w:top w:w="0" w:type="dxa"/>
            <w:left w:w="108" w:type="dxa"/>
            <w:bottom w:w="0" w:type="dxa"/>
            <w:right w:w="108" w:type="dxa"/>
          </w:tblCellMar>
        </w:tblPrEx>
        <w:trPr>
          <w:cantSplit/>
          <w:trHeight w:val="288" w:hRule="exact"/>
          <w:jc w:val="center"/>
        </w:trPr>
        <w:tc>
          <w:tcPr>
            <w:tcW w:w="385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36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(range)</w:t>
            </w:r>
          </w:p>
        </w:tc>
        <w:tc>
          <w:tcPr>
            <w:tcW w:w="182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72 (26:318)</w:t>
            </w:r>
          </w:p>
        </w:tc>
        <w:tc>
          <w:tcPr>
            <w:tcW w:w="1899"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66.5 (24:187)</w:t>
            </w:r>
          </w:p>
        </w:tc>
        <w:tc>
          <w:tcPr>
            <w:tcW w:w="18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385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Total cholesterol (mg/dL)</w:t>
            </w:r>
          </w:p>
        </w:tc>
        <w:tc>
          <w:tcPr>
            <w:tcW w:w="136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82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177.71 ±42.7</w:t>
            </w:r>
          </w:p>
        </w:tc>
        <w:tc>
          <w:tcPr>
            <w:tcW w:w="1899"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155.59 ±23.1</w:t>
            </w:r>
          </w:p>
        </w:tc>
        <w:tc>
          <w:tcPr>
            <w:tcW w:w="18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p=0.001</w:t>
            </w:r>
          </w:p>
        </w:tc>
      </w:tr>
      <w:tr>
        <w:tblPrEx>
          <w:tblLayout w:type="fixed"/>
          <w:tblCellMar>
            <w:top w:w="0" w:type="dxa"/>
            <w:left w:w="108" w:type="dxa"/>
            <w:bottom w:w="0" w:type="dxa"/>
            <w:right w:w="108" w:type="dxa"/>
          </w:tblCellMar>
        </w:tblPrEx>
        <w:trPr>
          <w:cantSplit/>
          <w:trHeight w:val="288" w:hRule="exact"/>
          <w:jc w:val="center"/>
        </w:trPr>
        <w:tc>
          <w:tcPr>
            <w:tcW w:w="385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36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(range)</w:t>
            </w:r>
          </w:p>
        </w:tc>
        <w:tc>
          <w:tcPr>
            <w:tcW w:w="182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169 (111:353)</w:t>
            </w:r>
          </w:p>
        </w:tc>
        <w:tc>
          <w:tcPr>
            <w:tcW w:w="1899"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155 (99:200)</w:t>
            </w:r>
          </w:p>
        </w:tc>
        <w:tc>
          <w:tcPr>
            <w:tcW w:w="18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385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HDL cholesterol (mg/dL)</w:t>
            </w:r>
          </w:p>
        </w:tc>
        <w:tc>
          <w:tcPr>
            <w:tcW w:w="136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82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55.44 ±10.3</w:t>
            </w:r>
          </w:p>
        </w:tc>
        <w:tc>
          <w:tcPr>
            <w:tcW w:w="1899"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52.36 ±10.1</w:t>
            </w:r>
          </w:p>
        </w:tc>
        <w:tc>
          <w:tcPr>
            <w:tcW w:w="18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p=0.126</w:t>
            </w:r>
          </w:p>
        </w:tc>
      </w:tr>
      <w:tr>
        <w:tblPrEx>
          <w:tblLayout w:type="fixed"/>
          <w:tblCellMar>
            <w:top w:w="0" w:type="dxa"/>
            <w:left w:w="108" w:type="dxa"/>
            <w:bottom w:w="0" w:type="dxa"/>
            <w:right w:w="108" w:type="dxa"/>
          </w:tblCellMar>
        </w:tblPrEx>
        <w:trPr>
          <w:cantSplit/>
          <w:trHeight w:val="288" w:hRule="exact"/>
          <w:jc w:val="center"/>
        </w:trPr>
        <w:tc>
          <w:tcPr>
            <w:tcW w:w="385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36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(range)</w:t>
            </w:r>
          </w:p>
        </w:tc>
        <w:tc>
          <w:tcPr>
            <w:tcW w:w="1820"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54 (31:84)</w:t>
            </w:r>
          </w:p>
        </w:tc>
        <w:tc>
          <w:tcPr>
            <w:tcW w:w="1899"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51.5 (31:78)</w:t>
            </w:r>
          </w:p>
        </w:tc>
        <w:tc>
          <w:tcPr>
            <w:tcW w:w="18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385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HbA1C (%)</w:t>
            </w:r>
          </w:p>
        </w:tc>
        <w:tc>
          <w:tcPr>
            <w:tcW w:w="136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820"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9.03 ±1.79</w:t>
            </w:r>
          </w:p>
        </w:tc>
        <w:tc>
          <w:tcPr>
            <w:tcW w:w="1899"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4.83 ±0.477</w:t>
            </w:r>
          </w:p>
        </w:tc>
        <w:tc>
          <w:tcPr>
            <w:tcW w:w="1868"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385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36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(range)</w:t>
            </w:r>
          </w:p>
        </w:tc>
        <w:tc>
          <w:tcPr>
            <w:tcW w:w="1820"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8.7 (6.7:15.4)</w:t>
            </w:r>
          </w:p>
        </w:tc>
        <w:tc>
          <w:tcPr>
            <w:tcW w:w="189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4.85 (4:5.9)</w:t>
            </w:r>
          </w:p>
        </w:tc>
        <w:tc>
          <w:tcPr>
            <w:tcW w:w="1868"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10800" w:type="dxa"/>
            <w:gridSpan w:val="5"/>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i/>
                <w:color w:val="000000"/>
                <w:sz w:val="20"/>
                <w:szCs w:val="20"/>
              </w:rPr>
              <w:t xml:space="preserve">μ ±SD = Mean (standard deviation); M (range) = Median (min:max); MW = Mann-Whitney Test; </w:t>
            </w:r>
          </w:p>
        </w:tc>
      </w:tr>
    </w:tbl>
    <w:p>
      <w:pPr>
        <w:pStyle w:val="3"/>
      </w:pPr>
      <w:r>
        <w:t>With limited data avilable, none of the studied genes showed any significant differences in genotype distributions between cases and controls.</w:t>
      </w:r>
    </w:p>
    <w:p>
      <w:pPr>
        <w:pStyle w:val="3"/>
        <w:rPr>
          <w:color w:val="7F7F7F" w:themeColor="background1" w:themeShade="80"/>
        </w:rPr>
      </w:pPr>
      <w:r>
        <w:rPr>
          <w:color w:val="7F7F7F" w:themeColor="background1" w:themeShade="80"/>
        </w:rPr>
        <w:t>Table 4: Univariate statistics by groups of genotypes for several relevant genes, where available.</w:t>
      </w:r>
    </w:p>
    <w:tbl>
      <w:tblPr>
        <w:tblStyle w:val="13"/>
        <w:tblW w:w="10800" w:type="dxa"/>
        <w:jc w:val="center"/>
        <w:tblInd w:w="0" w:type="dxa"/>
        <w:tblLayout w:type="fixed"/>
        <w:tblCellMar>
          <w:top w:w="0" w:type="dxa"/>
          <w:left w:w="108" w:type="dxa"/>
          <w:bottom w:w="0" w:type="dxa"/>
          <w:right w:w="108" w:type="dxa"/>
        </w:tblCellMar>
      </w:tblPr>
      <w:tblGrid>
        <w:gridCol w:w="2221"/>
        <w:gridCol w:w="1408"/>
        <w:gridCol w:w="1274"/>
        <w:gridCol w:w="1274"/>
        <w:gridCol w:w="4623"/>
      </w:tblGrid>
      <w:tr>
        <w:tblPrEx>
          <w:tblLayout w:type="fixed"/>
          <w:tblCellMar>
            <w:top w:w="0" w:type="dxa"/>
            <w:left w:w="108" w:type="dxa"/>
            <w:bottom w:w="0" w:type="dxa"/>
            <w:right w:w="108" w:type="dxa"/>
          </w:tblCellMar>
        </w:tblPrEx>
        <w:trPr>
          <w:cantSplit/>
          <w:trHeight w:val="288" w:hRule="exact"/>
          <w:tblHeader/>
          <w:jc w:val="center"/>
        </w:trPr>
        <w:tc>
          <w:tcPr>
            <w:tcW w:w="22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Variable</w:t>
            </w:r>
          </w:p>
        </w:tc>
        <w:tc>
          <w:tcPr>
            <w:tcW w:w="140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Details</w:t>
            </w:r>
          </w:p>
        </w:tc>
        <w:tc>
          <w:tcPr>
            <w:tcW w:w="127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DM</w:t>
            </w:r>
          </w:p>
        </w:tc>
        <w:tc>
          <w:tcPr>
            <w:tcW w:w="127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control</w:t>
            </w:r>
          </w:p>
        </w:tc>
        <w:tc>
          <w:tcPr>
            <w:tcW w:w="462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22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Group</w:t>
            </w:r>
          </w:p>
        </w:tc>
        <w:tc>
          <w:tcPr>
            <w:tcW w:w="140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52 (44.1%)</w:t>
            </w:r>
          </w:p>
        </w:tc>
        <w:tc>
          <w:tcPr>
            <w:tcW w:w="127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66 (55.9%)</w:t>
            </w:r>
          </w:p>
        </w:tc>
        <w:tc>
          <w:tcPr>
            <w:tcW w:w="462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Adipo Q genotype 1</w:t>
            </w:r>
          </w:p>
        </w:tc>
        <w:tc>
          <w:tcPr>
            <w:tcW w:w="140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GG</w:t>
            </w:r>
          </w:p>
        </w:tc>
        <w:tc>
          <w:tcPr>
            <w:tcW w:w="127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8 (15.4%)</w:t>
            </w:r>
          </w:p>
        </w:tc>
        <w:tc>
          <w:tcPr>
            <w:tcW w:w="127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 (23.1%)</w:t>
            </w:r>
          </w:p>
        </w:tc>
        <w:tc>
          <w:tcPr>
            <w:tcW w:w="4623"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V=0.17 (p=0.390)</w:t>
            </w: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GT</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31 (59.6%)</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5 (38.5%)</w:t>
            </w:r>
          </w:p>
        </w:tc>
        <w:tc>
          <w:tcPr>
            <w:tcW w:w="4623"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TT</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13 (25.0%)</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5 (38.5%)</w:t>
            </w:r>
          </w:p>
        </w:tc>
        <w:tc>
          <w:tcPr>
            <w:tcW w:w="462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Adipo Q genotype 2</w:t>
            </w:r>
          </w:p>
        </w:tc>
        <w:tc>
          <w:tcPr>
            <w:tcW w:w="140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mutant</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16 (47.1%)</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31 (49.2%)</w:t>
            </w:r>
          </w:p>
        </w:tc>
        <w:tc>
          <w:tcPr>
            <w:tcW w:w="462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V=0.07 (p=0.774)</w:t>
            </w: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heterozygote</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15 (44.1%)</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24 (38.1%)</w:t>
            </w:r>
          </w:p>
        </w:tc>
        <w:tc>
          <w:tcPr>
            <w:tcW w:w="4623"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wild-type</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 (8.8%)</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8 (12.7%)</w:t>
            </w:r>
          </w:p>
        </w:tc>
        <w:tc>
          <w:tcPr>
            <w:tcW w:w="462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GSTM genotype</w:t>
            </w:r>
          </w:p>
        </w:tc>
        <w:tc>
          <w:tcPr>
            <w:tcW w:w="140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M-</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22 (42.3%)</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6 (46.2%)</w:t>
            </w:r>
          </w:p>
        </w:tc>
        <w:tc>
          <w:tcPr>
            <w:tcW w:w="462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OR=0.86 [0.25, 2.90], phi=0.03 (p&gt;0.999)</w:t>
            </w: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M+</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30 (57.7%)</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7 (53.8%)</w:t>
            </w:r>
          </w:p>
        </w:tc>
        <w:tc>
          <w:tcPr>
            <w:tcW w:w="462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GSTT genotype</w:t>
            </w:r>
          </w:p>
        </w:tc>
        <w:tc>
          <w:tcPr>
            <w:tcW w:w="140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17 (32.7%)</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4 (30.8%)</w:t>
            </w:r>
          </w:p>
        </w:tc>
        <w:tc>
          <w:tcPr>
            <w:tcW w:w="462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OR=1.09 [0.29, 4.06], phi=0.02 (p&gt;0.999)</w:t>
            </w: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35 (67.3%)</w:t>
            </w:r>
          </w:p>
        </w:tc>
        <w:tc>
          <w:tcPr>
            <w:tcW w:w="127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9 (69.2%)</w:t>
            </w:r>
          </w:p>
        </w:tc>
        <w:tc>
          <w:tcPr>
            <w:tcW w:w="462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TNF-alfa genotype</w:t>
            </w:r>
          </w:p>
        </w:tc>
        <w:tc>
          <w:tcPr>
            <w:tcW w:w="140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A1A1</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39 (75.0%)</w:t>
            </w:r>
          </w:p>
        </w:tc>
        <w:tc>
          <w:tcPr>
            <w:tcW w:w="127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9 (69.2%)</w:t>
            </w:r>
          </w:p>
        </w:tc>
        <w:tc>
          <w:tcPr>
            <w:tcW w:w="4623"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V=0.09 (p=0.761)</w:t>
            </w: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A1A2</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12 (23.1%)</w:t>
            </w:r>
          </w:p>
        </w:tc>
        <w:tc>
          <w:tcPr>
            <w:tcW w:w="1274"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4 (30.8%)</w:t>
            </w:r>
          </w:p>
        </w:tc>
        <w:tc>
          <w:tcPr>
            <w:tcW w:w="4623"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22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40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A2A2</w:t>
            </w:r>
          </w:p>
        </w:tc>
        <w:tc>
          <w:tcPr>
            <w:tcW w:w="127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 (1.9%)</w:t>
            </w:r>
          </w:p>
        </w:tc>
        <w:tc>
          <w:tcPr>
            <w:tcW w:w="127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w:t>
            </w:r>
          </w:p>
        </w:tc>
        <w:tc>
          <w:tcPr>
            <w:tcW w:w="4623"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10800" w:type="dxa"/>
            <w:gridSpan w:val="5"/>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i/>
                <w:color w:val="7F7F7F" w:themeColor="background1" w:themeShade="80"/>
                <w:sz w:val="20"/>
                <w:szCs w:val="20"/>
              </w:rPr>
              <w:t xml:space="preserve">OR/RR = odds-ratio / risk-ratio [95% CI] and p value from Fisher test); V = Cramér V (p value from Chi² test); </w:t>
            </w:r>
          </w:p>
        </w:tc>
      </w:tr>
    </w:tbl>
    <w:p>
      <w:pPr>
        <w:pStyle w:val="3"/>
      </w:pPr>
      <w:r>
        <w:t>Aside from a patient with positive ANA antibodies (measured at age 7), control patients did not show any autoimmune disease, while 32.7% of DM patients had either BC, TAI or both (p&lt;0.001, with median age 9 at onset). Atopies were found in approximately 17% in both groups. Neuropathy, nephropathy and retinopathy were found only in DM patients (36.5%</w:t>
      </w:r>
      <w:bookmarkStart w:id="15" w:name="_GoBack"/>
      <w:bookmarkEnd w:id="15"/>
      <w:r>
        <w:t>, 11.5% and 4% respectively).</w:t>
      </w:r>
    </w:p>
    <w:p>
      <w:pPr>
        <w:pStyle w:val="3"/>
        <w:rPr>
          <w:color w:val="7F7F7F" w:themeColor="background1" w:themeShade="80"/>
        </w:rPr>
      </w:pPr>
      <w:r>
        <w:rPr>
          <w:color w:val="7F7F7F" w:themeColor="background1" w:themeShade="80"/>
        </w:rPr>
        <w:t>Table 5: Autoimmune pathology by groups.</w:t>
      </w:r>
    </w:p>
    <w:tbl>
      <w:tblPr>
        <w:tblStyle w:val="13"/>
        <w:tblW w:w="10800" w:type="dxa"/>
        <w:jc w:val="center"/>
        <w:tblInd w:w="0" w:type="dxa"/>
        <w:tblLayout w:type="fixed"/>
        <w:tblCellMar>
          <w:top w:w="0" w:type="dxa"/>
          <w:left w:w="108" w:type="dxa"/>
          <w:bottom w:w="0" w:type="dxa"/>
          <w:right w:w="108" w:type="dxa"/>
        </w:tblCellMar>
      </w:tblPr>
      <w:tblGrid>
        <w:gridCol w:w="2975"/>
        <w:gridCol w:w="1271"/>
        <w:gridCol w:w="1355"/>
        <w:gridCol w:w="1419"/>
        <w:gridCol w:w="3780"/>
      </w:tblGrid>
      <w:tr>
        <w:tblPrEx>
          <w:tblLayout w:type="fixed"/>
          <w:tblCellMar>
            <w:top w:w="0" w:type="dxa"/>
            <w:left w:w="108" w:type="dxa"/>
            <w:bottom w:w="0" w:type="dxa"/>
            <w:right w:w="108" w:type="dxa"/>
          </w:tblCellMar>
        </w:tblPrEx>
        <w:trPr>
          <w:cantSplit/>
          <w:trHeight w:val="288" w:hRule="exact"/>
          <w:tblHeader/>
          <w:jc w:val="center"/>
        </w:trPr>
        <w:tc>
          <w:tcPr>
            <w:tcW w:w="297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Variable</w:t>
            </w:r>
          </w:p>
        </w:tc>
        <w:tc>
          <w:tcPr>
            <w:tcW w:w="127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Details</w:t>
            </w:r>
          </w:p>
        </w:tc>
        <w:tc>
          <w:tcPr>
            <w:tcW w:w="135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DM</w:t>
            </w:r>
          </w:p>
        </w:tc>
        <w:tc>
          <w:tcPr>
            <w:tcW w:w="141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control</w:t>
            </w:r>
          </w:p>
        </w:tc>
        <w:tc>
          <w:tcPr>
            <w:tcW w:w="378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97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Group</w:t>
            </w:r>
          </w:p>
        </w:tc>
        <w:tc>
          <w:tcPr>
            <w:tcW w:w="127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35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52 (44.1%)</w:t>
            </w:r>
          </w:p>
        </w:tc>
        <w:tc>
          <w:tcPr>
            <w:tcW w:w="141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66 (55.9%)</w:t>
            </w:r>
          </w:p>
        </w:tc>
        <w:tc>
          <w:tcPr>
            <w:tcW w:w="378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975"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Autoimmune disease</w:t>
            </w:r>
          </w:p>
        </w:tc>
        <w:tc>
          <w:tcPr>
            <w:tcW w:w="127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yes</w:t>
            </w:r>
          </w:p>
        </w:tc>
        <w:tc>
          <w:tcPr>
            <w:tcW w:w="135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17 (32.7%)</w:t>
            </w:r>
          </w:p>
        </w:tc>
        <w:tc>
          <w:tcPr>
            <w:tcW w:w="1419"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0</w:t>
            </w:r>
          </w:p>
        </w:tc>
        <w:tc>
          <w:tcPr>
            <w:tcW w:w="378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OR=64.58 [3.77, 1 106.01] (p&lt;0.001)</w:t>
            </w:r>
          </w:p>
        </w:tc>
      </w:tr>
      <w:tr>
        <w:tblPrEx>
          <w:tblLayout w:type="fixed"/>
          <w:tblCellMar>
            <w:top w:w="0" w:type="dxa"/>
            <w:left w:w="108" w:type="dxa"/>
            <w:bottom w:w="0" w:type="dxa"/>
            <w:right w:w="108" w:type="dxa"/>
          </w:tblCellMar>
        </w:tblPrEx>
        <w:trPr>
          <w:cantSplit/>
          <w:trHeight w:val="288" w:hRule="exact"/>
          <w:jc w:val="center"/>
        </w:trPr>
        <w:tc>
          <w:tcPr>
            <w:tcW w:w="2975"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1" w:type="dxa"/>
            <w:shd w:val="clear" w:color="auto" w:fill="FFFFFF"/>
            <w:tcMar>
              <w:top w:w="0" w:type="dxa"/>
              <w:left w:w="0" w:type="dxa"/>
              <w:bottom w:w="0" w:type="dxa"/>
              <w:right w:w="0" w:type="dxa"/>
            </w:tcMar>
            <w:vAlign w:val="center"/>
          </w:tcPr>
          <w:p>
            <w:pPr>
              <w:spacing w:before="0" w:after="0"/>
              <w:ind w:left="0" w:right="0" w:firstLine="0"/>
              <w:jc w:val="left"/>
              <w:rPr>
                <w:rFonts w:hint="default"/>
                <w:b w:val="0"/>
                <w:bCs/>
                <w:color w:val="7F7F7F" w:themeColor="background1" w:themeShade="80"/>
                <w:lang w:val="en"/>
              </w:rPr>
            </w:pPr>
            <w:r>
              <w:rPr>
                <w:rFonts w:ascii="Times New Roman" w:hAnsi="Times New Roman" w:eastAsia="Times New Roman" w:cs="Times New Roman"/>
                <w:b w:val="0"/>
                <w:bCs/>
                <w:i/>
                <w:color w:val="7F7F7F" w:themeColor="background1" w:themeShade="80"/>
                <w:sz w:val="20"/>
                <w:szCs w:val="20"/>
              </w:rPr>
              <w:t>AI</w:t>
            </w:r>
            <w:r>
              <w:rPr>
                <w:rFonts w:hint="default" w:eastAsia="Times New Roman" w:cs="Times New Roman"/>
                <w:b w:val="0"/>
                <w:bCs/>
                <w:i/>
                <w:color w:val="7F7F7F" w:themeColor="background1" w:themeShade="80"/>
                <w:sz w:val="20"/>
                <w:szCs w:val="20"/>
                <w:lang w:val="en"/>
              </w:rPr>
              <w:t>T</w:t>
            </w:r>
            <w:r>
              <w:rPr>
                <w:rFonts w:ascii="Times New Roman" w:hAnsi="Times New Roman" w:eastAsia="Times New Roman" w:cs="Times New Roman"/>
                <w:b w:val="0"/>
                <w:bCs/>
                <w:i/>
                <w:color w:val="7F7F7F" w:themeColor="background1" w:themeShade="80"/>
                <w:sz w:val="20"/>
                <w:szCs w:val="20"/>
              </w:rPr>
              <w:t>+</w:t>
            </w:r>
            <w:r>
              <w:rPr>
                <w:rFonts w:hint="default" w:eastAsia="Times New Roman" w:cs="Times New Roman"/>
                <w:b w:val="0"/>
                <w:bCs/>
                <w:i/>
                <w:color w:val="7F7F7F" w:themeColor="background1" w:themeShade="80"/>
                <w:sz w:val="20"/>
                <w:szCs w:val="20"/>
                <w:lang w:val="en"/>
              </w:rPr>
              <w:t>CD</w:t>
            </w:r>
          </w:p>
        </w:tc>
        <w:tc>
          <w:tcPr>
            <w:tcW w:w="1355" w:type="dxa"/>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r>
              <w:rPr>
                <w:rFonts w:ascii="Times New Roman" w:hAnsi="Times New Roman" w:eastAsia="Times New Roman" w:cs="Times New Roman"/>
                <w:b w:val="0"/>
                <w:bCs/>
                <w:i/>
                <w:color w:val="7F7F7F" w:themeColor="background1" w:themeShade="80"/>
                <w:sz w:val="20"/>
                <w:szCs w:val="20"/>
              </w:rPr>
              <w:t>5 (9.6%)</w:t>
            </w:r>
          </w:p>
        </w:tc>
        <w:tc>
          <w:tcPr>
            <w:tcW w:w="1419" w:type="dxa"/>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p>
        </w:tc>
        <w:tc>
          <w:tcPr>
            <w:tcW w:w="3780"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975"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1" w:type="dxa"/>
            <w:shd w:val="clear" w:color="auto" w:fill="FFFFFF"/>
            <w:tcMar>
              <w:top w:w="0" w:type="dxa"/>
              <w:left w:w="0" w:type="dxa"/>
              <w:bottom w:w="0" w:type="dxa"/>
              <w:right w:w="0" w:type="dxa"/>
            </w:tcMar>
            <w:vAlign w:val="center"/>
          </w:tcPr>
          <w:p>
            <w:pPr>
              <w:spacing w:before="0" w:after="0"/>
              <w:ind w:left="0" w:right="0" w:firstLine="0"/>
              <w:jc w:val="left"/>
              <w:rPr>
                <w:rFonts w:hint="default"/>
                <w:b w:val="0"/>
                <w:bCs/>
                <w:color w:val="7F7F7F" w:themeColor="background1" w:themeShade="80"/>
                <w:lang w:val="en"/>
              </w:rPr>
            </w:pPr>
            <w:r>
              <w:rPr>
                <w:rFonts w:ascii="Times New Roman" w:hAnsi="Times New Roman" w:eastAsia="Times New Roman" w:cs="Times New Roman"/>
                <w:b w:val="0"/>
                <w:bCs/>
                <w:i/>
                <w:color w:val="7F7F7F" w:themeColor="background1" w:themeShade="80"/>
                <w:sz w:val="20"/>
                <w:szCs w:val="20"/>
              </w:rPr>
              <w:t>AI</w:t>
            </w:r>
            <w:r>
              <w:rPr>
                <w:rFonts w:hint="default" w:eastAsia="Times New Roman" w:cs="Times New Roman"/>
                <w:b w:val="0"/>
                <w:bCs/>
                <w:i/>
                <w:color w:val="7F7F7F" w:themeColor="background1" w:themeShade="80"/>
                <w:sz w:val="20"/>
                <w:szCs w:val="20"/>
                <w:lang w:val="en"/>
              </w:rPr>
              <w:t>T</w:t>
            </w:r>
          </w:p>
        </w:tc>
        <w:tc>
          <w:tcPr>
            <w:tcW w:w="1355" w:type="dxa"/>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r>
              <w:rPr>
                <w:rFonts w:ascii="Times New Roman" w:hAnsi="Times New Roman" w:eastAsia="Times New Roman" w:cs="Times New Roman"/>
                <w:b w:val="0"/>
                <w:bCs/>
                <w:i/>
                <w:color w:val="7F7F7F" w:themeColor="background1" w:themeShade="80"/>
                <w:sz w:val="20"/>
                <w:szCs w:val="20"/>
              </w:rPr>
              <w:t>10 (19.2%)</w:t>
            </w:r>
          </w:p>
        </w:tc>
        <w:tc>
          <w:tcPr>
            <w:tcW w:w="1419" w:type="dxa"/>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p>
        </w:tc>
        <w:tc>
          <w:tcPr>
            <w:tcW w:w="3780"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476" w:hRule="exact"/>
          <w:jc w:val="center"/>
        </w:trPr>
        <w:tc>
          <w:tcPr>
            <w:tcW w:w="2975"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1" w:type="dxa"/>
            <w:shd w:val="clear" w:color="auto" w:fill="FFFFFF"/>
            <w:tcMar>
              <w:top w:w="0" w:type="dxa"/>
              <w:left w:w="0" w:type="dxa"/>
              <w:bottom w:w="0" w:type="dxa"/>
              <w:right w:w="0" w:type="dxa"/>
            </w:tcMar>
            <w:vAlign w:val="center"/>
          </w:tcPr>
          <w:p>
            <w:pPr>
              <w:spacing w:before="0" w:after="0"/>
              <w:ind w:left="0" w:right="0" w:firstLine="0"/>
              <w:jc w:val="left"/>
              <w:rPr>
                <w:rFonts w:hint="default"/>
                <w:b w:val="0"/>
                <w:bCs/>
                <w:color w:val="7F7F7F" w:themeColor="background1" w:themeShade="80"/>
                <w:lang w:val="en"/>
              </w:rPr>
            </w:pPr>
            <w:r>
              <w:rPr>
                <w:rFonts w:hint="default"/>
                <w:b w:val="0"/>
                <w:bCs/>
                <w:color w:val="7F7F7F" w:themeColor="background1" w:themeShade="80"/>
                <w:lang w:val="en"/>
              </w:rPr>
              <w:t>CD</w:t>
            </w:r>
          </w:p>
        </w:tc>
        <w:tc>
          <w:tcPr>
            <w:tcW w:w="1355" w:type="dxa"/>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r>
              <w:rPr>
                <w:rFonts w:ascii="Times New Roman" w:hAnsi="Times New Roman" w:eastAsia="Times New Roman" w:cs="Times New Roman"/>
                <w:b w:val="0"/>
                <w:bCs/>
                <w:i/>
                <w:color w:val="7F7F7F" w:themeColor="background1" w:themeShade="80"/>
                <w:sz w:val="20"/>
                <w:szCs w:val="20"/>
              </w:rPr>
              <w:t>2 (3.8%)</w:t>
            </w:r>
          </w:p>
        </w:tc>
        <w:tc>
          <w:tcPr>
            <w:tcW w:w="1419" w:type="dxa"/>
            <w:tcBorders/>
            <w:shd w:val="clear" w:color="auto" w:fill="FFFFFF"/>
            <w:tcMar>
              <w:top w:w="0" w:type="dxa"/>
              <w:left w:w="0" w:type="dxa"/>
              <w:bottom w:w="0" w:type="dxa"/>
              <w:right w:w="0" w:type="dxa"/>
            </w:tcMar>
            <w:vAlign w:val="center"/>
          </w:tcPr>
          <w:p>
            <w:pPr>
              <w:spacing w:before="0" w:after="0"/>
              <w:ind w:left="0" w:right="0" w:firstLine="0"/>
              <w:jc w:val="left"/>
              <w:rPr>
                <w:b w:val="0"/>
                <w:bCs/>
                <w:color w:val="7F7F7F" w:themeColor="background1" w:themeShade="80"/>
              </w:rPr>
            </w:pPr>
          </w:p>
        </w:tc>
        <w:tc>
          <w:tcPr>
            <w:tcW w:w="3780" w:type="dxa"/>
            <w:vMerge w:val="continue"/>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97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no</w:t>
            </w:r>
          </w:p>
        </w:tc>
        <w:tc>
          <w:tcPr>
            <w:tcW w:w="135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35 (67.3%)</w:t>
            </w:r>
          </w:p>
        </w:tc>
        <w:tc>
          <w:tcPr>
            <w:tcW w:w="1419"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65 (100%)</w:t>
            </w:r>
          </w:p>
        </w:tc>
        <w:tc>
          <w:tcPr>
            <w:tcW w:w="37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2975"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 xml:space="preserve">Age at onset of </w:t>
            </w:r>
          </w:p>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autoimmune disease (years)</w:t>
            </w:r>
          </w:p>
        </w:tc>
        <w:tc>
          <w:tcPr>
            <w:tcW w:w="127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μ ±SD</w:t>
            </w:r>
          </w:p>
        </w:tc>
        <w:tc>
          <w:tcPr>
            <w:tcW w:w="135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9.18 ±4.03</w:t>
            </w:r>
          </w:p>
        </w:tc>
        <w:tc>
          <w:tcPr>
            <w:tcW w:w="1419"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7.00</w:t>
            </w:r>
          </w:p>
        </w:tc>
        <w:tc>
          <w:tcPr>
            <w:tcW w:w="3780"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MW: p=0.493</w:t>
            </w:r>
          </w:p>
        </w:tc>
      </w:tr>
      <w:tr>
        <w:tblPrEx>
          <w:tblLayout w:type="fixed"/>
          <w:tblCellMar>
            <w:top w:w="0" w:type="dxa"/>
            <w:left w:w="108" w:type="dxa"/>
            <w:bottom w:w="0" w:type="dxa"/>
            <w:right w:w="108" w:type="dxa"/>
          </w:tblCellMar>
        </w:tblPrEx>
        <w:trPr>
          <w:cantSplit/>
          <w:trHeight w:val="288" w:hRule="exact"/>
          <w:jc w:val="center"/>
        </w:trPr>
        <w:tc>
          <w:tcPr>
            <w:tcW w:w="2975"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27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M (range)</w:t>
            </w:r>
          </w:p>
        </w:tc>
        <w:tc>
          <w:tcPr>
            <w:tcW w:w="135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9 (2:16)</w:t>
            </w:r>
          </w:p>
        </w:tc>
        <w:tc>
          <w:tcPr>
            <w:tcW w:w="141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7</w:t>
            </w:r>
          </w:p>
        </w:tc>
        <w:tc>
          <w:tcPr>
            <w:tcW w:w="3780"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576" w:hRule="exact"/>
          <w:jc w:val="center"/>
        </w:trPr>
        <w:tc>
          <w:tcPr>
            <w:tcW w:w="10800" w:type="dxa"/>
            <w:gridSpan w:val="5"/>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color w:val="7F7F7F" w:themeColor="background1" w:themeShade="80"/>
                <w:lang w:val="en"/>
              </w:rPr>
            </w:pPr>
            <w:r>
              <w:rPr>
                <w:rFonts w:ascii="Times New Roman" w:hAnsi="Times New Roman" w:eastAsia="Times New Roman" w:cs="Times New Roman"/>
                <w:i/>
                <w:color w:val="7F7F7F" w:themeColor="background1" w:themeShade="80"/>
                <w:sz w:val="20"/>
                <w:szCs w:val="20"/>
              </w:rPr>
              <w:t xml:space="preserve">μ ±SD = Mean (standard deviation); M (range) = Median (min:max); MW = Mann-Whitney Test; OR/RR = odds-ratio / risk-ratio [95% CI] and p value from Fisher test); </w:t>
            </w:r>
            <w:r>
              <w:rPr>
                <w:rFonts w:hint="default" w:eastAsia="Times New Roman" w:cs="Times New Roman"/>
                <w:i/>
                <w:color w:val="7F7F7F" w:themeColor="background1" w:themeShade="80"/>
                <w:sz w:val="20"/>
                <w:szCs w:val="20"/>
                <w:lang w:val="en"/>
              </w:rPr>
              <w:t>CD: celiac disease; AIT: autoimmune thyroidis</w:t>
            </w:r>
          </w:p>
        </w:tc>
      </w:tr>
    </w:tbl>
    <w:p>
      <w:pPr>
        <w:pStyle w:val="3"/>
        <w:rPr>
          <w:color w:val="7F7F7F" w:themeColor="background1" w:themeShade="80"/>
        </w:rPr>
      </w:pPr>
      <w:r>
        <w:rPr>
          <w:color w:val="7F7F7F" w:themeColor="background1" w:themeShade="80"/>
        </w:rPr>
        <w:t>Table 6: Comorbidities, by groups.</w:t>
      </w:r>
    </w:p>
    <w:tbl>
      <w:tblPr>
        <w:tblStyle w:val="13"/>
        <w:tblW w:w="10800" w:type="dxa"/>
        <w:jc w:val="center"/>
        <w:tblInd w:w="0" w:type="dxa"/>
        <w:tblLayout w:type="fixed"/>
        <w:tblCellMar>
          <w:top w:w="0" w:type="dxa"/>
          <w:left w:w="108" w:type="dxa"/>
          <w:bottom w:w="0" w:type="dxa"/>
          <w:right w:w="108" w:type="dxa"/>
        </w:tblCellMar>
      </w:tblPr>
      <w:tblGrid>
        <w:gridCol w:w="1781"/>
        <w:gridCol w:w="1344"/>
        <w:gridCol w:w="1704"/>
        <w:gridCol w:w="1592"/>
        <w:gridCol w:w="4379"/>
      </w:tblGrid>
      <w:tr>
        <w:tblPrEx>
          <w:tblLayout w:type="fixed"/>
          <w:tblCellMar>
            <w:top w:w="0" w:type="dxa"/>
            <w:left w:w="108" w:type="dxa"/>
            <w:bottom w:w="0" w:type="dxa"/>
            <w:right w:w="108" w:type="dxa"/>
          </w:tblCellMar>
        </w:tblPrEx>
        <w:trPr>
          <w:cantSplit/>
          <w:trHeight w:val="288" w:hRule="exact"/>
          <w:tblHeader/>
          <w:jc w:val="center"/>
        </w:trPr>
        <w:tc>
          <w:tcPr>
            <w:tcW w:w="178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Variable</w:t>
            </w:r>
          </w:p>
        </w:tc>
        <w:tc>
          <w:tcPr>
            <w:tcW w:w="134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Details</w:t>
            </w:r>
          </w:p>
        </w:tc>
        <w:tc>
          <w:tcPr>
            <w:tcW w:w="170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DM</w:t>
            </w:r>
          </w:p>
        </w:tc>
        <w:tc>
          <w:tcPr>
            <w:tcW w:w="159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control</w:t>
            </w:r>
          </w:p>
        </w:tc>
        <w:tc>
          <w:tcPr>
            <w:tcW w:w="437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178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Group</w:t>
            </w:r>
          </w:p>
        </w:tc>
        <w:tc>
          <w:tcPr>
            <w:tcW w:w="134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70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52 (44.1%)</w:t>
            </w:r>
          </w:p>
        </w:tc>
        <w:tc>
          <w:tcPr>
            <w:tcW w:w="159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66 (55.9%)</w:t>
            </w:r>
          </w:p>
        </w:tc>
        <w:tc>
          <w:tcPr>
            <w:tcW w:w="43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3125" w:type="dxa"/>
            <w:gridSpan w:val="2"/>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Atopies</w:t>
            </w:r>
          </w:p>
        </w:tc>
        <w:tc>
          <w:tcPr>
            <w:tcW w:w="1704"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9 (17.3%)</w:t>
            </w:r>
          </w:p>
        </w:tc>
        <w:tc>
          <w:tcPr>
            <w:tcW w:w="1592"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11 (16.7%)</w:t>
            </w:r>
          </w:p>
        </w:tc>
        <w:tc>
          <w:tcPr>
            <w:tcW w:w="4379"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OR=1.05 [0.40, 2.75] (p&gt;0.999)</w:t>
            </w:r>
          </w:p>
        </w:tc>
      </w:tr>
      <w:tr>
        <w:tblPrEx>
          <w:tblLayout w:type="fixed"/>
          <w:tblCellMar>
            <w:top w:w="0" w:type="dxa"/>
            <w:left w:w="108" w:type="dxa"/>
            <w:bottom w:w="0" w:type="dxa"/>
            <w:right w:w="108" w:type="dxa"/>
          </w:tblCellMar>
        </w:tblPrEx>
        <w:trPr>
          <w:cantSplit/>
          <w:trHeight w:val="288" w:hRule="exact"/>
          <w:jc w:val="center"/>
        </w:trPr>
        <w:tc>
          <w:tcPr>
            <w:tcW w:w="1781" w:type="dxa"/>
            <w:vMerge w:val="restart"/>
            <w:shd w:val="clear" w:color="auto" w:fill="FFFFFF"/>
            <w:tcMar>
              <w:top w:w="0" w:type="dxa"/>
              <w:left w:w="0" w:type="dxa"/>
              <w:bottom w:w="0" w:type="dxa"/>
              <w:right w:w="0" w:type="dxa"/>
            </w:tcMar>
            <w:vAlign w:val="center"/>
          </w:tcPr>
          <w:p>
            <w:pPr>
              <w:spacing w:before="0" w:after="0"/>
              <w:ind w:left="0" w:right="0" w:firstLine="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Retinopathy</w:t>
            </w:r>
          </w:p>
        </w:tc>
        <w:tc>
          <w:tcPr>
            <w:tcW w:w="1344" w:type="dxa"/>
            <w:tcBorders>
              <w:top w:val="dashed"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hint="default" w:eastAsia="Times New Roman" w:cs="Times New Roman"/>
                <w:color w:val="7F7F7F" w:themeColor="background1" w:themeShade="80"/>
                <w:sz w:val="20"/>
                <w:szCs w:val="20"/>
                <w:lang w:val="en"/>
              </w:rPr>
              <w:t>yes</w:t>
            </w:r>
          </w:p>
        </w:tc>
        <w:tc>
          <w:tcPr>
            <w:tcW w:w="1704" w:type="dxa"/>
            <w:tcBorders>
              <w:top w:val="dashed"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hint="default" w:eastAsia="Times New Roman" w:cs="Times New Roman"/>
                <w:color w:val="7F7F7F" w:themeColor="background1" w:themeShade="80"/>
                <w:sz w:val="20"/>
                <w:szCs w:val="20"/>
                <w:lang w:val="en"/>
              </w:rPr>
              <w:t>2</w:t>
            </w:r>
            <w:r>
              <w:rPr>
                <w:rFonts w:ascii="Times New Roman" w:hAnsi="Times New Roman" w:eastAsia="Times New Roman" w:cs="Times New Roman"/>
                <w:color w:val="7F7F7F" w:themeColor="background1" w:themeShade="80"/>
                <w:sz w:val="20"/>
                <w:szCs w:val="20"/>
              </w:rPr>
              <w:t xml:space="preserve"> (</w:t>
            </w:r>
            <w:r>
              <w:rPr>
                <w:rFonts w:hint="default" w:eastAsia="Times New Roman" w:cs="Times New Roman"/>
                <w:color w:val="7F7F7F" w:themeColor="background1" w:themeShade="80"/>
                <w:sz w:val="20"/>
                <w:szCs w:val="20"/>
                <w:lang w:val="en"/>
              </w:rPr>
              <w:t>4</w:t>
            </w:r>
            <w:r>
              <w:rPr>
                <w:rFonts w:ascii="Times New Roman" w:hAnsi="Times New Roman" w:eastAsia="Times New Roman" w:cs="Times New Roman"/>
                <w:color w:val="7F7F7F" w:themeColor="background1" w:themeShade="80"/>
                <w:sz w:val="20"/>
                <w:szCs w:val="20"/>
              </w:rPr>
              <w:t>%)</w:t>
            </w:r>
          </w:p>
        </w:tc>
        <w:tc>
          <w:tcPr>
            <w:tcW w:w="159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restart"/>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178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34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hint="default"/>
                <w:color w:val="7F7F7F" w:themeColor="background1" w:themeShade="80"/>
                <w:lang w:val="en"/>
              </w:rPr>
            </w:pPr>
            <w:r>
              <w:rPr>
                <w:rFonts w:ascii="Times New Roman" w:hAnsi="Times New Roman" w:eastAsia="Times New Roman" w:cs="Times New Roman"/>
                <w:color w:val="7F7F7F" w:themeColor="background1" w:themeShade="80"/>
                <w:sz w:val="20"/>
                <w:szCs w:val="20"/>
              </w:rPr>
              <w:t>no</w:t>
            </w:r>
          </w:p>
        </w:tc>
        <w:tc>
          <w:tcPr>
            <w:tcW w:w="170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color w:val="7F7F7F" w:themeColor="background1" w:themeShade="80"/>
              </w:rPr>
            </w:pPr>
            <w:r>
              <w:rPr>
                <w:rFonts w:ascii="Times New Roman" w:hAnsi="Times New Roman" w:eastAsia="Times New Roman" w:cs="Times New Roman"/>
                <w:color w:val="7F7F7F" w:themeColor="background1" w:themeShade="80"/>
                <w:sz w:val="20"/>
                <w:szCs w:val="20"/>
              </w:rPr>
              <w:t>50 (96.2%)</w:t>
            </w:r>
          </w:p>
        </w:tc>
        <w:tc>
          <w:tcPr>
            <w:tcW w:w="159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PrEx>
        <w:trPr>
          <w:cantSplit/>
          <w:trHeight w:val="288" w:hRule="exact"/>
          <w:jc w:val="center"/>
        </w:trPr>
        <w:tc>
          <w:tcPr>
            <w:tcW w:w="178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Nephropathy</w:t>
            </w:r>
          </w:p>
        </w:tc>
        <w:tc>
          <w:tcPr>
            <w:tcW w:w="134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color w:val="7F7F7F" w:themeColor="background1" w:themeShade="80"/>
                <w:lang w:val="en"/>
              </w:rPr>
            </w:pPr>
            <w:r>
              <w:rPr>
                <w:rFonts w:hint="default" w:eastAsia="Times New Roman" w:cs="Times New Roman"/>
                <w:color w:val="7F7F7F" w:themeColor="background1" w:themeShade="80"/>
                <w:sz w:val="20"/>
                <w:szCs w:val="20"/>
                <w:lang w:val="en"/>
              </w:rPr>
              <w:t>yes</w:t>
            </w:r>
          </w:p>
        </w:tc>
        <w:tc>
          <w:tcPr>
            <w:tcW w:w="170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hint="default" w:eastAsia="Times New Roman" w:cs="Times New Roman"/>
                <w:color w:val="7F7F7F" w:themeColor="background1" w:themeShade="80"/>
                <w:sz w:val="20"/>
                <w:szCs w:val="20"/>
                <w:lang w:val="en"/>
              </w:rPr>
              <w:t>6</w:t>
            </w:r>
            <w:r>
              <w:rPr>
                <w:rFonts w:ascii="Times New Roman" w:hAnsi="Times New Roman" w:eastAsia="Times New Roman" w:cs="Times New Roman"/>
                <w:color w:val="7F7F7F" w:themeColor="background1" w:themeShade="80"/>
                <w:sz w:val="20"/>
                <w:szCs w:val="20"/>
              </w:rPr>
              <w:t xml:space="preserve"> (</w:t>
            </w:r>
            <w:r>
              <w:rPr>
                <w:rFonts w:hint="default" w:eastAsia="Times New Roman" w:cs="Times New Roman"/>
                <w:color w:val="7F7F7F" w:themeColor="background1" w:themeShade="80"/>
                <w:sz w:val="20"/>
                <w:szCs w:val="20"/>
                <w:lang w:val="en"/>
              </w:rPr>
              <w:t>11.5</w:t>
            </w:r>
            <w:r>
              <w:rPr>
                <w:rFonts w:ascii="Times New Roman" w:hAnsi="Times New Roman" w:eastAsia="Times New Roman" w:cs="Times New Roman"/>
                <w:color w:val="7F7F7F" w:themeColor="background1" w:themeShade="80"/>
                <w:sz w:val="20"/>
                <w:szCs w:val="20"/>
              </w:rPr>
              <w:t>%)</w:t>
            </w:r>
          </w:p>
        </w:tc>
        <w:tc>
          <w:tcPr>
            <w:tcW w:w="159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178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34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no</w:t>
            </w:r>
          </w:p>
        </w:tc>
        <w:tc>
          <w:tcPr>
            <w:tcW w:w="170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46 (88.5%)</w:t>
            </w:r>
          </w:p>
        </w:tc>
        <w:tc>
          <w:tcPr>
            <w:tcW w:w="159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178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Neuropathy</w:t>
            </w:r>
          </w:p>
        </w:tc>
        <w:tc>
          <w:tcPr>
            <w:tcW w:w="134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color w:val="7F7F7F" w:themeColor="background1" w:themeShade="80"/>
                <w:lang w:val="en"/>
              </w:rPr>
            </w:pPr>
            <w:r>
              <w:rPr>
                <w:rFonts w:hint="default" w:eastAsia="Times New Roman" w:cs="Times New Roman"/>
                <w:color w:val="7F7F7F" w:themeColor="background1" w:themeShade="80"/>
                <w:sz w:val="20"/>
                <w:szCs w:val="20"/>
                <w:lang w:val="en"/>
              </w:rPr>
              <w:t>yes</w:t>
            </w:r>
          </w:p>
        </w:tc>
        <w:tc>
          <w:tcPr>
            <w:tcW w:w="170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1</w:t>
            </w:r>
            <w:r>
              <w:rPr>
                <w:rFonts w:hint="default" w:eastAsia="Times New Roman" w:cs="Times New Roman"/>
                <w:color w:val="7F7F7F" w:themeColor="background1" w:themeShade="80"/>
                <w:sz w:val="20"/>
                <w:szCs w:val="20"/>
                <w:lang w:val="en"/>
              </w:rPr>
              <w:t>9</w:t>
            </w:r>
            <w:r>
              <w:rPr>
                <w:rFonts w:ascii="Times New Roman" w:hAnsi="Times New Roman" w:eastAsia="Times New Roman" w:cs="Times New Roman"/>
                <w:color w:val="7F7F7F" w:themeColor="background1" w:themeShade="80"/>
                <w:sz w:val="20"/>
                <w:szCs w:val="20"/>
              </w:rPr>
              <w:t xml:space="preserve"> (1</w:t>
            </w:r>
            <w:r>
              <w:rPr>
                <w:rFonts w:hint="default" w:eastAsia="Times New Roman" w:cs="Times New Roman"/>
                <w:color w:val="7F7F7F" w:themeColor="background1" w:themeShade="80"/>
                <w:sz w:val="20"/>
                <w:szCs w:val="20"/>
                <w:lang w:val="en"/>
              </w:rPr>
              <w:t>36.5</w:t>
            </w:r>
            <w:r>
              <w:rPr>
                <w:rFonts w:ascii="Times New Roman" w:hAnsi="Times New Roman" w:eastAsia="Times New Roman" w:cs="Times New Roman"/>
                <w:color w:val="7F7F7F" w:themeColor="background1" w:themeShade="80"/>
                <w:sz w:val="20"/>
                <w:szCs w:val="20"/>
              </w:rPr>
              <w:t>%)</w:t>
            </w:r>
          </w:p>
        </w:tc>
        <w:tc>
          <w:tcPr>
            <w:tcW w:w="159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178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134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no</w:t>
            </w:r>
          </w:p>
        </w:tc>
        <w:tc>
          <w:tcPr>
            <w:tcW w:w="170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33 (63.5%)</w:t>
            </w:r>
          </w:p>
        </w:tc>
        <w:tc>
          <w:tcPr>
            <w:tcW w:w="159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4379"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r>
    </w:tbl>
    <w:p>
      <w:pPr>
        <w:pStyle w:val="3"/>
      </w:pPr>
      <w:r>
        <w:t>In DM patients, the most frequent complications were insulin lipodystrophies (67.3%), followed by Dawn phenomena (42.3%) and dyslipidemias (26.9%).</w:t>
      </w:r>
    </w:p>
    <w:p>
      <w:pPr>
        <w:pStyle w:val="3"/>
      </w:pPr>
      <w:r>
        <w:t>Table 7: Prevalence of DM complications.</w:t>
      </w:r>
    </w:p>
    <w:tbl>
      <w:tblPr>
        <w:tblStyle w:val="13"/>
        <w:tblW w:w="3780" w:type="dxa"/>
        <w:jc w:val="center"/>
        <w:tblInd w:w="0" w:type="dxa"/>
        <w:tblLayout w:type="fixed"/>
        <w:tblCellMar>
          <w:top w:w="0" w:type="dxa"/>
          <w:left w:w="108" w:type="dxa"/>
          <w:bottom w:w="0" w:type="dxa"/>
          <w:right w:w="108" w:type="dxa"/>
        </w:tblCellMar>
      </w:tblPr>
      <w:tblGrid>
        <w:gridCol w:w="2535"/>
        <w:gridCol w:w="1245"/>
      </w:tblGrid>
      <w:tr>
        <w:tblPrEx>
          <w:tblLayout w:type="fixed"/>
          <w:tblCellMar>
            <w:top w:w="0" w:type="dxa"/>
            <w:left w:w="108" w:type="dxa"/>
            <w:bottom w:w="0" w:type="dxa"/>
            <w:right w:w="108" w:type="dxa"/>
          </w:tblCellMar>
        </w:tblPrEx>
        <w:trPr>
          <w:cantSplit/>
          <w:trHeight w:val="288" w:hRule="exact"/>
          <w:tblHeader/>
          <w:jc w:val="center"/>
        </w:trPr>
        <w:tc>
          <w:tcPr>
            <w:tcW w:w="25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Other complications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 (%)</w:t>
            </w:r>
          </w:p>
        </w:tc>
      </w:tr>
      <w:tr>
        <w:tblPrEx>
          <w:tblLayout w:type="fixed"/>
          <w:tblCellMar>
            <w:top w:w="0" w:type="dxa"/>
            <w:left w:w="108" w:type="dxa"/>
            <w:bottom w:w="0" w:type="dxa"/>
            <w:right w:w="108" w:type="dxa"/>
          </w:tblCellMar>
        </w:tblPrEx>
        <w:trPr>
          <w:cantSplit/>
          <w:trHeight w:val="288" w:hRule="exact"/>
          <w:jc w:val="center"/>
        </w:trPr>
        <w:tc>
          <w:tcPr>
            <w:tcW w:w="25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N=</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118</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cheilartropatie diabetica</w:t>
            </w:r>
          </w:p>
        </w:tc>
        <w:tc>
          <w:tcPr>
            <w:tcW w:w="124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dyslipidemias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Dawn phenomenon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hepatopathy</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hipomagneziemie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resistance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lipodystrophies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lipoidic necrosis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severe growth retardation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cholestasis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eating disorders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r>
      <w:tr>
        <w:tblPrEx>
          <w:tblLayout w:type="fixed"/>
          <w:tblCellMar>
            <w:top w:w="0" w:type="dxa"/>
            <w:left w:w="108" w:type="dxa"/>
            <w:bottom w:w="0" w:type="dxa"/>
            <w:right w:w="108" w:type="dxa"/>
          </w:tblCellMar>
        </w:tblPrEx>
        <w:trPr>
          <w:cantSplit/>
          <w:trHeight w:val="288" w:hRule="exact"/>
          <w:jc w:val="center"/>
        </w:trPr>
        <w:tc>
          <w:tcPr>
            <w:tcW w:w="25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none</w:t>
            </w:r>
          </w:p>
        </w:tc>
        <w:tc>
          <w:tcPr>
            <w:tcW w:w="124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r>
    </w:tbl>
    <w:p>
      <w:pPr>
        <w:pStyle w:val="4"/>
        <w:rPr>
          <w:rFonts w:hint="default"/>
          <w:color w:val="FF0000"/>
          <w:lang w:val="en"/>
        </w:rPr>
      </w:pPr>
      <w:bookmarkStart w:id="6" w:name="correlations-adiponectia-tnf-alpha"/>
      <w:r>
        <w:rPr>
          <w:color w:val="FF0000"/>
        </w:rPr>
        <w:t>Correlation</w:t>
      </w:r>
      <w:bookmarkEnd w:id="6"/>
      <w:r>
        <w:rPr>
          <w:rFonts w:hint="default"/>
          <w:color w:val="FF0000"/>
          <w:lang w:val="en"/>
        </w:rPr>
        <w:t>s</w:t>
      </w:r>
    </w:p>
    <w:p>
      <w:pPr>
        <w:pStyle w:val="25"/>
      </w:pPr>
      <w:r>
        <w:t>Adiponectin values were not significantly correlated to TNF-alpha values, in neither of the 2 groups. In DM patients, higher Adiponectin and TNF-alpha values were significantly correlated to lower Ages at inclusion and at onset of DM. In addition, TNF-alpha showed significant negative correlations with Age at onset of autoimmune disease and HDL cholesterol. These correlations decreased to statistical insignificance in controls, with the exception of Adiponectin to Age at inclusion which decreased but remained statistically significant. Overall, HbA1C (%) was significantly correlated to TNF-alpha, but not in separate groups because HbA1C values formed clusters with weaker intra-cluster correlations compared to between-clusters.</w:t>
      </w:r>
    </w:p>
    <w:p>
      <w:pPr>
        <w:pStyle w:val="3"/>
        <w:rPr>
          <w:color w:val="7F7F7F" w:themeColor="background1" w:themeShade="80"/>
        </w:rPr>
      </w:pPr>
      <w:r>
        <w:rPr>
          <w:color w:val="7F7F7F" w:themeColor="background1" w:themeShade="80"/>
        </w:rPr>
        <w:t>Table 8: Correlation matrix of Adiponectin and TNF-alpha values with several other parameters (Spearman’s R coefficients).</w:t>
      </w:r>
    </w:p>
    <w:tbl>
      <w:tblPr>
        <w:tblStyle w:val="13"/>
        <w:tblW w:w="10800" w:type="dxa"/>
        <w:jc w:val="center"/>
        <w:tblInd w:w="0" w:type="dxa"/>
        <w:tblLayout w:type="fixed"/>
        <w:tblCellMar>
          <w:top w:w="0" w:type="dxa"/>
          <w:left w:w="108" w:type="dxa"/>
          <w:bottom w:w="0" w:type="dxa"/>
          <w:right w:w="108" w:type="dxa"/>
        </w:tblCellMar>
      </w:tblPr>
      <w:tblGrid>
        <w:gridCol w:w="5315"/>
        <w:gridCol w:w="937"/>
        <w:gridCol w:w="936"/>
        <w:gridCol w:w="879"/>
        <w:gridCol w:w="917"/>
        <w:gridCol w:w="937"/>
        <w:gridCol w:w="879"/>
      </w:tblGrid>
      <w:tr>
        <w:tblPrEx>
          <w:tblLayout w:type="fixed"/>
          <w:tblCellMar>
            <w:top w:w="0" w:type="dxa"/>
            <w:left w:w="108" w:type="dxa"/>
            <w:bottom w:w="0" w:type="dxa"/>
            <w:right w:w="108" w:type="dxa"/>
          </w:tblCellMar>
        </w:tblPrEx>
        <w:trPr>
          <w:cantSplit/>
          <w:trHeight w:val="288" w:hRule="exact"/>
          <w:tblHeader/>
          <w:jc w:val="center"/>
        </w:trPr>
        <w:tc>
          <w:tcPr>
            <w:tcW w:w="5315" w:type="dxa"/>
            <w:vMerge w:val="restart"/>
            <w:tcBorders>
              <w:top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color w:val="7F7F7F" w:themeColor="background1" w:themeShade="80"/>
              </w:rPr>
            </w:pPr>
            <w:r>
              <w:rPr>
                <w:rFonts w:ascii="Times New Roman" w:hAnsi="Times New Roman" w:eastAsia="Times New Roman" w:cs="Times New Roman"/>
                <w:b/>
                <w:color w:val="7F7F7F" w:themeColor="background1" w:themeShade="80"/>
                <w:sz w:val="20"/>
                <w:szCs w:val="20"/>
              </w:rPr>
              <w:t>VS. (Spearman R)</w:t>
            </w:r>
          </w:p>
        </w:tc>
        <w:tc>
          <w:tcPr>
            <w:tcW w:w="2752" w:type="dxa"/>
            <w:gridSpan w:val="3"/>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ascii="Times New Roman" w:hAnsi="Times New Roman" w:eastAsia="Times New Roman" w:cs="Times New Roman"/>
                <w:b/>
                <w:color w:val="7F7F7F" w:themeColor="background1" w:themeShade="80"/>
                <w:sz w:val="20"/>
                <w:szCs w:val="20"/>
              </w:rPr>
            </w:pPr>
            <w:r>
              <w:rPr>
                <w:rFonts w:ascii="Times New Roman" w:hAnsi="Times New Roman" w:eastAsia="Times New Roman" w:cs="Times New Roman"/>
                <w:b/>
                <w:color w:val="7F7F7F" w:themeColor="background1" w:themeShade="80"/>
                <w:sz w:val="20"/>
                <w:szCs w:val="20"/>
              </w:rPr>
              <w:t>Adiponectin (μg/mL)</w:t>
            </w:r>
          </w:p>
        </w:tc>
        <w:tc>
          <w:tcPr>
            <w:tcW w:w="2733" w:type="dxa"/>
            <w:gridSpan w:val="3"/>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ascii="Times New Roman" w:hAnsi="Times New Roman" w:eastAsia="Times New Roman" w:cs="Times New Roman"/>
                <w:b/>
                <w:color w:val="7F7F7F" w:themeColor="background1" w:themeShade="80"/>
                <w:sz w:val="20"/>
                <w:szCs w:val="20"/>
              </w:rPr>
            </w:pPr>
            <w:r>
              <w:rPr>
                <w:rFonts w:ascii="Times New Roman" w:hAnsi="Times New Roman" w:eastAsia="Times New Roman" w:cs="Times New Roman"/>
                <w:b/>
                <w:color w:val="7F7F7F" w:themeColor="background1" w:themeShade="80"/>
                <w:sz w:val="20"/>
                <w:szCs w:val="20"/>
              </w:rPr>
              <w:t>TNF-alpha (pg/mL)</w:t>
            </w:r>
          </w:p>
        </w:tc>
      </w:tr>
      <w:tr>
        <w:tblPrEx>
          <w:tblLayout w:type="fixed"/>
          <w:tblCellMar>
            <w:top w:w="0" w:type="dxa"/>
            <w:left w:w="108" w:type="dxa"/>
            <w:bottom w:w="0" w:type="dxa"/>
            <w:right w:w="108" w:type="dxa"/>
          </w:tblCellMar>
        </w:tblPrEx>
        <w:trPr>
          <w:cantSplit/>
          <w:trHeight w:val="288" w:hRule="exact"/>
          <w:tblHeader/>
          <w:jc w:val="center"/>
        </w:trPr>
        <w:tc>
          <w:tcPr>
            <w:tcW w:w="5315" w:type="dxa"/>
            <w:vMerge w:val="continue"/>
            <w:tcBorders>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ascii="Times New Roman" w:hAnsi="Times New Roman" w:eastAsia="Times New Roman" w:cs="Times New Roman"/>
                <w:b w:val="0"/>
                <w:bCs/>
                <w:color w:val="7F7F7F" w:themeColor="background1" w:themeShade="80"/>
                <w:sz w:val="20"/>
                <w:szCs w:val="20"/>
              </w:rPr>
            </w:pPr>
          </w:p>
        </w:tc>
        <w:tc>
          <w:tcPr>
            <w:tcW w:w="93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eastAsia="Times New Roman" w:cs="Times New Roman"/>
                <w:b w:val="0"/>
                <w:bCs/>
                <w:color w:val="7F7F7F" w:themeColor="background1" w:themeShade="80"/>
                <w:sz w:val="20"/>
                <w:szCs w:val="20"/>
                <w:lang w:val="en"/>
              </w:rPr>
            </w:pPr>
            <w:r>
              <w:rPr>
                <w:rFonts w:hint="default" w:eastAsia="Times New Roman" w:cs="Times New Roman"/>
                <w:b w:val="0"/>
                <w:bCs/>
                <w:color w:val="7F7F7F" w:themeColor="background1" w:themeShade="80"/>
                <w:sz w:val="20"/>
                <w:szCs w:val="20"/>
                <w:lang w:val="en"/>
              </w:rPr>
              <w:t>Overall</w:t>
            </w:r>
          </w:p>
        </w:tc>
        <w:tc>
          <w:tcPr>
            <w:tcW w:w="9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eastAsia="Times New Roman" w:cs="Times New Roman"/>
                <w:b w:val="0"/>
                <w:bCs/>
                <w:color w:val="7F7F7F" w:themeColor="background1" w:themeShade="80"/>
                <w:sz w:val="20"/>
                <w:szCs w:val="20"/>
                <w:lang w:val="en"/>
              </w:rPr>
            </w:pPr>
            <w:r>
              <w:rPr>
                <w:rFonts w:hint="default" w:eastAsia="Times New Roman" w:cs="Times New Roman"/>
                <w:b w:val="0"/>
                <w:bCs/>
                <w:color w:val="7F7F7F" w:themeColor="background1" w:themeShade="80"/>
                <w:sz w:val="20"/>
                <w:szCs w:val="20"/>
                <w:lang w:val="en"/>
              </w:rPr>
              <w:t>DM</w:t>
            </w:r>
          </w:p>
        </w:tc>
        <w:tc>
          <w:tcPr>
            <w:tcW w:w="87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eastAsia="Times New Roman" w:cs="Times New Roman"/>
                <w:b w:val="0"/>
                <w:bCs/>
                <w:color w:val="7F7F7F" w:themeColor="background1" w:themeShade="80"/>
                <w:sz w:val="20"/>
                <w:szCs w:val="20"/>
                <w:lang w:val="en"/>
              </w:rPr>
            </w:pPr>
            <w:r>
              <w:rPr>
                <w:rFonts w:hint="default" w:eastAsia="Times New Roman" w:cs="Times New Roman"/>
                <w:b w:val="0"/>
                <w:bCs/>
                <w:color w:val="7F7F7F" w:themeColor="background1" w:themeShade="80"/>
                <w:sz w:val="20"/>
                <w:szCs w:val="20"/>
                <w:lang w:val="en"/>
              </w:rPr>
              <w:t>control</w:t>
            </w:r>
          </w:p>
        </w:tc>
        <w:tc>
          <w:tcPr>
            <w:tcW w:w="91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leftChars="0" w:right="100" w:rightChars="0" w:firstLine="0" w:firstLineChars="0"/>
              <w:jc w:val="left"/>
              <w:rPr>
                <w:rFonts w:ascii="Times New Roman" w:hAnsi="Times New Roman" w:eastAsia="Times New Roman" w:cs="Times New Roman"/>
                <w:b w:val="0"/>
                <w:bCs/>
                <w:color w:val="7F7F7F" w:themeColor="background1" w:themeShade="80"/>
                <w:sz w:val="20"/>
                <w:szCs w:val="20"/>
              </w:rPr>
            </w:pPr>
            <w:r>
              <w:rPr>
                <w:rFonts w:hint="default" w:eastAsia="Times New Roman" w:cs="Times New Roman"/>
                <w:b w:val="0"/>
                <w:bCs/>
                <w:color w:val="7F7F7F" w:themeColor="background1" w:themeShade="80"/>
                <w:sz w:val="20"/>
                <w:szCs w:val="20"/>
                <w:lang w:val="en"/>
              </w:rPr>
              <w:t>Overall</w:t>
            </w:r>
          </w:p>
        </w:tc>
        <w:tc>
          <w:tcPr>
            <w:tcW w:w="93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leftChars="0" w:right="100" w:rightChars="0" w:firstLine="0" w:firstLineChars="0"/>
              <w:jc w:val="left"/>
              <w:rPr>
                <w:rFonts w:ascii="Times New Roman" w:hAnsi="Times New Roman" w:eastAsia="Times New Roman" w:cs="Times New Roman"/>
                <w:b w:val="0"/>
                <w:bCs/>
                <w:color w:val="7F7F7F" w:themeColor="background1" w:themeShade="80"/>
                <w:sz w:val="20"/>
                <w:szCs w:val="20"/>
              </w:rPr>
            </w:pPr>
            <w:r>
              <w:rPr>
                <w:rFonts w:hint="default" w:eastAsia="Times New Roman" w:cs="Times New Roman"/>
                <w:b w:val="0"/>
                <w:bCs/>
                <w:color w:val="7F7F7F" w:themeColor="background1" w:themeShade="80"/>
                <w:sz w:val="20"/>
                <w:szCs w:val="20"/>
                <w:lang w:val="en"/>
              </w:rPr>
              <w:t>DM</w:t>
            </w:r>
          </w:p>
        </w:tc>
        <w:tc>
          <w:tcPr>
            <w:tcW w:w="87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leftChars="0" w:right="100" w:rightChars="0" w:firstLine="0" w:firstLineChars="0"/>
              <w:jc w:val="left"/>
              <w:rPr>
                <w:rFonts w:ascii="Times New Roman" w:hAnsi="Times New Roman" w:eastAsia="Times New Roman" w:cs="Times New Roman"/>
                <w:b w:val="0"/>
                <w:bCs/>
                <w:color w:val="7F7F7F" w:themeColor="background1" w:themeShade="80"/>
                <w:sz w:val="20"/>
                <w:szCs w:val="20"/>
              </w:rPr>
            </w:pPr>
            <w:r>
              <w:rPr>
                <w:rFonts w:hint="default" w:eastAsia="Times New Roman" w:cs="Times New Roman"/>
                <w:b w:val="0"/>
                <w:bCs/>
                <w:color w:val="7F7F7F" w:themeColor="background1" w:themeShade="80"/>
                <w:sz w:val="20"/>
                <w:szCs w:val="20"/>
                <w:lang w:val="en"/>
              </w:rPr>
              <w:t>control</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Adiponectin (μg/mL)</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color w:val="7F7F7F" w:themeColor="background1" w:themeShade="80"/>
              </w:rPr>
            </w:pP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color w:val="7F7F7F" w:themeColor="background1" w:themeShade="80"/>
              </w:rPr>
            </w:pP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-0.007</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0.173</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-0.119</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TNF-alpha (pg/mL)</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-0.007</w:t>
            </w:r>
          </w:p>
        </w:tc>
        <w:tc>
          <w:tcPr>
            <w:tcW w:w="9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0.173</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-0.119</w:t>
            </w:r>
          </w:p>
        </w:tc>
        <w:tc>
          <w:tcPr>
            <w:tcW w:w="91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color w:val="7F7F7F" w:themeColor="background1" w:themeShade="80"/>
              </w:rPr>
            </w:pP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color w:val="7F7F7F" w:themeColor="background1" w:themeShade="80"/>
              </w:rPr>
            </w:pPr>
          </w:p>
        </w:tc>
      </w:tr>
      <w:tr>
        <w:tblPrEx>
          <w:tblLayout w:type="fixed"/>
          <w:tblCellMar>
            <w:top w:w="0" w:type="dxa"/>
            <w:left w:w="108" w:type="dxa"/>
            <w:bottom w:w="0" w:type="dxa"/>
            <w:right w:w="108" w:type="dxa"/>
          </w:tblCellMar>
        </w:tblPrEx>
        <w:trPr>
          <w:cantSplit/>
          <w:trHeight w:val="288" w:hRule="exact"/>
          <w:jc w:val="center"/>
        </w:trPr>
        <w:tc>
          <w:tcPr>
            <w:tcW w:w="531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Weight - Z score</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0.207</w:t>
            </w:r>
          </w:p>
        </w:tc>
        <w:tc>
          <w:tcPr>
            <w:tcW w:w="936"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0.240</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0.110</w:t>
            </w:r>
          </w:p>
        </w:tc>
        <w:tc>
          <w:tcPr>
            <w:tcW w:w="91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0.395**</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0.139</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0.101</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Height - Z score</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0.153⁺</w:t>
            </w: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0.112</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0.201</w:t>
            </w: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-0.016</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0.236⁺</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-0.136</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BMI - Z score</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-0.038</w:t>
            </w:r>
          </w:p>
        </w:tc>
        <w:tc>
          <w:tcPr>
            <w:tcW w:w="9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0.159</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-0.171</w:t>
            </w:r>
          </w:p>
        </w:tc>
        <w:tc>
          <w:tcPr>
            <w:tcW w:w="91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0.207*</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0.213</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0.052</w:t>
            </w:r>
          </w:p>
        </w:tc>
      </w:tr>
      <w:tr>
        <w:tblPrEx>
          <w:tblLayout w:type="fixed"/>
          <w:tblCellMar>
            <w:top w:w="0" w:type="dxa"/>
            <w:left w:w="108" w:type="dxa"/>
            <w:bottom w:w="0" w:type="dxa"/>
            <w:right w:w="108" w:type="dxa"/>
          </w:tblCellMar>
        </w:tblPrEx>
        <w:trPr>
          <w:cantSplit/>
          <w:trHeight w:val="288" w:hRule="exact"/>
          <w:jc w:val="center"/>
        </w:trPr>
        <w:tc>
          <w:tcPr>
            <w:tcW w:w="531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Age at inclusion (years)</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-0.290**</w:t>
            </w:r>
          </w:p>
        </w:tc>
        <w:tc>
          <w:tcPr>
            <w:tcW w:w="936"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-0.305*</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-0.285*</w:t>
            </w:r>
          </w:p>
        </w:tc>
        <w:tc>
          <w:tcPr>
            <w:tcW w:w="91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-0.181*</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-0.493***</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-0.154</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Age at onset (years)</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-0.455***</w:t>
            </w: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-0.455***</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-0.345*</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-0.345*</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Age at onset of autoimmune disease (years)</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-0.223</w:t>
            </w:r>
          </w:p>
        </w:tc>
        <w:tc>
          <w:tcPr>
            <w:tcW w:w="9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-0.264</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c>
          <w:tcPr>
            <w:tcW w:w="91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-0.667**</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-0.700**</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r>
      <w:tr>
        <w:tblPrEx>
          <w:tblLayout w:type="fixed"/>
          <w:tblCellMar>
            <w:top w:w="0" w:type="dxa"/>
            <w:left w:w="108" w:type="dxa"/>
            <w:bottom w:w="0" w:type="dxa"/>
            <w:right w:w="108" w:type="dxa"/>
          </w:tblCellMar>
        </w:tblPrEx>
        <w:trPr>
          <w:cantSplit/>
          <w:trHeight w:val="288" w:hRule="exact"/>
          <w:jc w:val="center"/>
        </w:trPr>
        <w:tc>
          <w:tcPr>
            <w:tcW w:w="531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Glycaemia (mg/dL)</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0.173</w:t>
            </w:r>
          </w:p>
        </w:tc>
        <w:tc>
          <w:tcPr>
            <w:tcW w:w="936"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0.173</w:t>
            </w:r>
          </w:p>
        </w:tc>
        <w:tc>
          <w:tcPr>
            <w:tcW w:w="91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-0.154</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-0.154</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HbA1C (%)</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0.031</w:t>
            </w: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0.095</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0.119</w:t>
            </w: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0.569***</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0.196</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0.026</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Insulin necessity</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-0.179</w:t>
            </w:r>
          </w:p>
        </w:tc>
        <w:tc>
          <w:tcPr>
            <w:tcW w:w="9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-0.179</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c>
          <w:tcPr>
            <w:tcW w:w="91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-0.047</w:t>
            </w:r>
          </w:p>
        </w:tc>
        <w:tc>
          <w:tcPr>
            <w:tcW w:w="93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-0.047</w:t>
            </w:r>
          </w:p>
        </w:tc>
        <w:tc>
          <w:tcPr>
            <w:tcW w:w="87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NA</w:t>
            </w:r>
          </w:p>
        </w:tc>
      </w:tr>
      <w:tr>
        <w:tblPrEx>
          <w:tblLayout w:type="fixed"/>
          <w:tblCellMar>
            <w:top w:w="0" w:type="dxa"/>
            <w:left w:w="108" w:type="dxa"/>
            <w:bottom w:w="0" w:type="dxa"/>
            <w:right w:w="108" w:type="dxa"/>
          </w:tblCellMar>
        </w:tblPrEx>
        <w:trPr>
          <w:cantSplit/>
          <w:trHeight w:val="288" w:hRule="exact"/>
          <w:jc w:val="center"/>
        </w:trPr>
        <w:tc>
          <w:tcPr>
            <w:tcW w:w="531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Alpha-1 antitrypsin (mg/dL)</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0.036</w:t>
            </w:r>
          </w:p>
        </w:tc>
        <w:tc>
          <w:tcPr>
            <w:tcW w:w="936"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-0.031</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0.097</w:t>
            </w:r>
          </w:p>
        </w:tc>
        <w:tc>
          <w:tcPr>
            <w:tcW w:w="917"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-0.225*</w:t>
            </w:r>
          </w:p>
        </w:tc>
        <w:tc>
          <w:tcPr>
            <w:tcW w:w="937"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-0.127</w:t>
            </w:r>
          </w:p>
        </w:tc>
        <w:tc>
          <w:tcPr>
            <w:tcW w:w="879" w:type="dxa"/>
            <w:tcBorders>
              <w:top w:val="single" w:color="000000" w:sz="8"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0.169</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Total cholesterol (mg/dL)</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0.061</w:t>
            </w: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0.148</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-0.027</w:t>
            </w: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0.139</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-0.217</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0.061</w:t>
            </w:r>
          </w:p>
        </w:tc>
      </w:tr>
      <w:tr>
        <w:tblPrEx>
          <w:tblLayout w:type="fixed"/>
          <w:tblCellMar>
            <w:top w:w="0" w:type="dxa"/>
            <w:left w:w="108" w:type="dxa"/>
            <w:bottom w:w="0" w:type="dxa"/>
            <w:right w:w="108" w:type="dxa"/>
          </w:tblCellMar>
        </w:tblPrEx>
        <w:trPr>
          <w:cantSplit/>
          <w:trHeight w:val="288" w:hRule="exact"/>
          <w:jc w:val="center"/>
        </w:trPr>
        <w:tc>
          <w:tcPr>
            <w:tcW w:w="5315"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HDL cholesterol (mg/dL)</w:t>
            </w:r>
          </w:p>
        </w:tc>
        <w:tc>
          <w:tcPr>
            <w:tcW w:w="93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0.079</w:t>
            </w:r>
          </w:p>
        </w:tc>
        <w:tc>
          <w:tcPr>
            <w:tcW w:w="936"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0.135</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0.018</w:t>
            </w:r>
          </w:p>
        </w:tc>
        <w:tc>
          <w:tcPr>
            <w:tcW w:w="917" w:type="dxa"/>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0.041</w:t>
            </w:r>
          </w:p>
        </w:tc>
        <w:tc>
          <w:tcPr>
            <w:tcW w:w="937"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-0.382**</w:t>
            </w:r>
          </w:p>
        </w:tc>
        <w:tc>
          <w:tcPr>
            <w:tcW w:w="879" w:type="dxa"/>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0.117</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Triglycerides (mg/dL)</w:t>
            </w:r>
          </w:p>
        </w:tc>
        <w:tc>
          <w:tcPr>
            <w:tcW w:w="93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0.027</w:t>
            </w:r>
          </w:p>
        </w:tc>
        <w:tc>
          <w:tcPr>
            <w:tcW w:w="93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0.069</w:t>
            </w:r>
          </w:p>
        </w:tc>
        <w:tc>
          <w:tcPr>
            <w:tcW w:w="8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0.063</w:t>
            </w:r>
          </w:p>
        </w:tc>
        <w:tc>
          <w:tcPr>
            <w:tcW w:w="91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color w:val="7F7F7F" w:themeColor="background1" w:themeShade="80"/>
              </w:rPr>
            </w:pPr>
            <w:r>
              <w:rPr>
                <w:rFonts w:ascii="Times New Roman" w:hAnsi="Times New Roman" w:eastAsia="Times New Roman" w:cs="Times New Roman"/>
                <w:color w:val="7F7F7F" w:themeColor="background1" w:themeShade="80"/>
                <w:sz w:val="20"/>
                <w:szCs w:val="20"/>
              </w:rPr>
              <w:t>0.040</w:t>
            </w:r>
          </w:p>
        </w:tc>
        <w:tc>
          <w:tcPr>
            <w:tcW w:w="93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0.119</w:t>
            </w:r>
          </w:p>
        </w:tc>
        <w:tc>
          <w:tcPr>
            <w:tcW w:w="8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color w:val="7F7F7F" w:themeColor="background1" w:themeShade="80"/>
                <w:sz w:val="20"/>
                <w:szCs w:val="20"/>
              </w:rPr>
              <w:t>-0.203</w:t>
            </w:r>
          </w:p>
        </w:tc>
      </w:tr>
      <w:tr>
        <w:tblPrEx>
          <w:tblLayout w:type="fixed"/>
          <w:tblCellMar>
            <w:top w:w="0" w:type="dxa"/>
            <w:left w:w="108" w:type="dxa"/>
            <w:bottom w:w="0" w:type="dxa"/>
            <w:right w:w="108" w:type="dxa"/>
          </w:tblCellMar>
        </w:tblPrEx>
        <w:trPr>
          <w:cantSplit/>
          <w:trHeight w:val="288" w:hRule="exact"/>
          <w:jc w:val="center"/>
        </w:trPr>
        <w:tc>
          <w:tcPr>
            <w:tcW w:w="531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ascii="Times New Roman" w:hAnsi="Times New Roman" w:eastAsia="Times New Roman" w:cs="Times New Roman"/>
                <w:color w:val="7F7F7F" w:themeColor="background1" w:themeShade="80"/>
                <w:sz w:val="20"/>
                <w:szCs w:val="20"/>
              </w:rPr>
            </w:pPr>
            <w:r>
              <w:rPr>
                <w:rFonts w:ascii="Times New Roman" w:hAnsi="Times New Roman" w:eastAsia="Times New Roman" w:cs="Times New Roman"/>
                <w:i/>
                <w:color w:val="7F7F7F" w:themeColor="background1" w:themeShade="80"/>
                <w:sz w:val="20"/>
                <w:szCs w:val="20"/>
              </w:rPr>
              <w:t>p-value = ⁺: &lt;0.10, &lt; *: &lt;0.05*, **: &lt; 0.01, ***: &lt;0.001</w:t>
            </w:r>
          </w:p>
        </w:tc>
        <w:tc>
          <w:tcPr>
            <w:tcW w:w="93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ascii="Times New Roman" w:hAnsi="Times New Roman" w:eastAsia="Times New Roman" w:cs="Times New Roman"/>
                <w:color w:val="7F7F7F" w:themeColor="background1" w:themeShade="80"/>
                <w:sz w:val="20"/>
                <w:szCs w:val="20"/>
              </w:rPr>
            </w:pPr>
          </w:p>
        </w:tc>
        <w:tc>
          <w:tcPr>
            <w:tcW w:w="93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p>
        </w:tc>
        <w:tc>
          <w:tcPr>
            <w:tcW w:w="8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p>
        </w:tc>
        <w:tc>
          <w:tcPr>
            <w:tcW w:w="91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ascii="Times New Roman" w:hAnsi="Times New Roman" w:eastAsia="Times New Roman" w:cs="Times New Roman"/>
                <w:color w:val="7F7F7F" w:themeColor="background1" w:themeShade="80"/>
                <w:sz w:val="20"/>
                <w:szCs w:val="20"/>
              </w:rPr>
            </w:pPr>
          </w:p>
        </w:tc>
        <w:tc>
          <w:tcPr>
            <w:tcW w:w="93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p>
        </w:tc>
        <w:tc>
          <w:tcPr>
            <w:tcW w:w="8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leftChars="0" w:right="0" w:rightChars="0" w:firstLine="0" w:firstLineChars="0"/>
              <w:jc w:val="left"/>
              <w:rPr>
                <w:rFonts w:ascii="Times New Roman" w:hAnsi="Times New Roman" w:eastAsia="Times New Roman" w:cs="Times New Roman"/>
                <w:color w:val="7F7F7F" w:themeColor="background1" w:themeShade="80"/>
                <w:sz w:val="20"/>
                <w:szCs w:val="20"/>
              </w:rPr>
            </w:pPr>
          </w:p>
        </w:tc>
      </w:tr>
    </w:tbl>
    <w:p>
      <w:pPr>
        <w:pStyle w:val="3"/>
      </w:pPr>
      <w:r>
        <w:drawing>
          <wp:inline distT="0" distB="0" distL="114300" distR="114300">
            <wp:extent cx="3378200" cy="4572000"/>
            <wp:effectExtent l="0" t="0" r="1270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a:stretch>
                      <a:fillRect/>
                    </a:stretch>
                  </pic:blipFill>
                  <pic:spPr>
                    <a:xfrm>
                      <a:off x="0" y="0"/>
                      <a:ext cx="3378200" cy="4572000"/>
                    </a:xfrm>
                    <a:prstGeom prst="rect">
                      <a:avLst/>
                    </a:prstGeom>
                    <a:noFill/>
                    <a:ln w="9525">
                      <a:noFill/>
                    </a:ln>
                  </pic:spPr>
                </pic:pic>
              </a:graphicData>
            </a:graphic>
          </wp:inline>
        </w:drawing>
      </w:r>
    </w:p>
    <w:p>
      <w:pPr>
        <w:pStyle w:val="3"/>
      </w:pPr>
      <w:r>
        <w:t>Figure 3: Correlation matrix of Adiponectin and TNF-alpha values with several other parameters (Spearman’s R coefficients, statistically insignifficant values crossed out).</w:t>
      </w:r>
    </w:p>
    <w:p>
      <w:pPr>
        <w:pStyle w:val="3"/>
      </w:pPr>
      <w:r>
        <w:drawing>
          <wp:inline distT="0" distB="0" distL="114300" distR="114300">
            <wp:extent cx="3429000" cy="2743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a:xfrm>
                      <a:off x="0" y="0"/>
                      <a:ext cx="3429000" cy="2743200"/>
                    </a:xfrm>
                    <a:prstGeom prst="rect">
                      <a:avLst/>
                    </a:prstGeom>
                    <a:noFill/>
                    <a:ln w="9525">
                      <a:noFill/>
                    </a:ln>
                  </pic:spPr>
                </pic:pic>
              </a:graphicData>
            </a:graphic>
          </wp:inline>
        </w:drawing>
      </w:r>
    </w:p>
    <w:p>
      <w:pPr>
        <w:pStyle w:val="3"/>
      </w:pPr>
      <w:r>
        <w:t>Figure 4: Correlation between Adiponectin and TNF-alpha (Spearman’s R coefficient). Reference values marked by dotted lines at 8.1 pg/mL for TNF-alpha and at 4, 7, an 10 μg/mL for adiponectin.</w:t>
      </w:r>
    </w:p>
    <w:p>
      <w:pPr>
        <w:pStyle w:val="4"/>
        <w:rPr>
          <w:color w:val="FF0000"/>
        </w:rPr>
      </w:pPr>
      <w:bookmarkStart w:id="7" w:name="multivariate-models"/>
      <w:r>
        <w:rPr>
          <w:color w:val="FF0000"/>
        </w:rPr>
        <w:t>Multivariate models</w:t>
      </w:r>
      <w:bookmarkEnd w:id="7"/>
    </w:p>
    <w:p>
      <w:pPr>
        <w:pStyle w:val="25"/>
      </w:pPr>
      <w:r>
        <w:t>Odds of DM significantly increased with every doubling of TNF-alpha vales, unadjusted (OR=42.40 ***, 11.04 – 221.00) as well as adjusted for BMI Z scores (OR=36.36 ***, 9.52 – 187.95), Age &amp; Sex (OR=1</w:t>
      </w:r>
      <w:r>
        <w:rPr>
          <w:rFonts w:hint="default"/>
          <w:lang w:val="en"/>
        </w:rPr>
        <w:t>29.30</w:t>
      </w:r>
      <w:r>
        <w:t xml:space="preserve"> ***, 2</w:t>
      </w:r>
      <w:r>
        <w:rPr>
          <w:rFonts w:hint="default"/>
          <w:lang w:val="en"/>
        </w:rPr>
        <w:t>4</w:t>
      </w:r>
      <w:r>
        <w:t xml:space="preserve">.7 to </w:t>
      </w:r>
      <w:r>
        <w:rPr>
          <w:rFonts w:hint="default"/>
          <w:lang w:val="en"/>
        </w:rPr>
        <w:t>999.2</w:t>
      </w:r>
      <w:r>
        <w:t xml:space="preserve">) and BMI, Age and Sex (OR = </w:t>
      </w:r>
      <w:r>
        <w:rPr>
          <w:rFonts w:hint="default"/>
          <w:lang w:val="en"/>
        </w:rPr>
        <w:t>118</w:t>
      </w:r>
      <w:r>
        <w:t>.</w:t>
      </w:r>
      <w:r>
        <w:rPr>
          <w:rFonts w:hint="default"/>
          <w:lang w:val="en"/>
        </w:rPr>
        <w:t>1</w:t>
      </w:r>
      <w:r>
        <w:t>6 ***, 2</w:t>
      </w:r>
      <w:r>
        <w:rPr>
          <w:rFonts w:hint="default"/>
          <w:lang w:val="en"/>
        </w:rPr>
        <w:t>2</w:t>
      </w:r>
      <w:r>
        <w:t>.</w:t>
      </w:r>
      <w:r>
        <w:rPr>
          <w:rFonts w:hint="default"/>
          <w:lang w:val="en"/>
        </w:rPr>
        <w:t>13</w:t>
      </w:r>
      <w:r>
        <w:t xml:space="preserve"> to </w:t>
      </w:r>
      <w:r>
        <w:rPr>
          <w:rFonts w:hint="default"/>
          <w:lang w:val="en"/>
        </w:rPr>
        <w:t>934</w:t>
      </w:r>
      <w:r>
        <w:t>.</w:t>
      </w:r>
      <w:r>
        <w:rPr>
          <w:rFonts w:hint="default"/>
          <w:lang w:val="en"/>
        </w:rPr>
        <w:t>82</w:t>
      </w:r>
      <w:r>
        <w:t>).</w:t>
      </w:r>
    </w:p>
    <w:p>
      <w:pPr>
        <w:pStyle w:val="3"/>
      </w:pPr>
      <w:r>
        <w:t>Odds of DM did not increase with every doubling of Adiponectin vales, unadjusted (OR=0.99, 0.42 – 2.36) or adjusted for BMI Z scores (OR=1.07, 0.44 to 2.62), Age &amp; Sex (OR=</w:t>
      </w:r>
      <w:r>
        <w:rPr>
          <w:rFonts w:hint="default"/>
        </w:rPr>
        <w:t>1.13</w:t>
      </w:r>
      <w:r>
        <w:rPr>
          <w:rFonts w:hint="default"/>
          <w:lang w:val="en"/>
        </w:rPr>
        <w:t xml:space="preserve">, </w:t>
      </w:r>
      <w:r>
        <w:rPr>
          <w:rFonts w:hint="default"/>
        </w:rPr>
        <w:t>0.46</w:t>
      </w:r>
      <w:r>
        <w:rPr>
          <w:rFonts w:hint="default"/>
          <w:lang w:val="en"/>
        </w:rPr>
        <w:t xml:space="preserve"> to 2</w:t>
      </w:r>
      <w:r>
        <w:rPr>
          <w:rFonts w:hint="default"/>
        </w:rPr>
        <w:t>.8</w:t>
      </w:r>
      <w:r>
        <w:rPr>
          <w:rFonts w:hint="default"/>
          <w:lang w:val="en"/>
        </w:rPr>
        <w:t>2</w:t>
      </w:r>
      <w:r>
        <w:t xml:space="preserve">) or BMI, Age and Sex (OR = </w:t>
      </w:r>
      <w:r>
        <w:rPr>
          <w:rFonts w:hint="default"/>
        </w:rPr>
        <w:t>1.1</w:t>
      </w:r>
      <w:r>
        <w:rPr>
          <w:rFonts w:hint="default"/>
          <w:lang w:val="en"/>
        </w:rPr>
        <w:t xml:space="preserve">8, </w:t>
      </w:r>
      <w:r>
        <w:rPr>
          <w:rFonts w:hint="default"/>
        </w:rPr>
        <w:t>0.471</w:t>
      </w:r>
      <w:r>
        <w:rPr>
          <w:rFonts w:hint="default"/>
          <w:lang w:val="en"/>
        </w:rPr>
        <w:t xml:space="preserve">to </w:t>
      </w:r>
      <w:r>
        <w:rPr>
          <w:rFonts w:hint="default"/>
        </w:rPr>
        <w:t>2.991)</w:t>
      </w:r>
      <w:r>
        <w:t>.</w:t>
      </w:r>
    </w:p>
    <w:p>
      <w:pPr>
        <w:pStyle w:val="3"/>
      </w:pPr>
      <w:r>
        <w:drawing>
          <wp:inline distT="0" distB="0" distL="114300" distR="114300">
            <wp:extent cx="6807200" cy="3200400"/>
            <wp:effectExtent l="0" t="0" r="1270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rcRect/>
                    <a:stretch>
                      <a:fillRect/>
                    </a:stretch>
                  </pic:blipFill>
                  <pic:spPr>
                    <a:xfrm>
                      <a:off x="0" y="0"/>
                      <a:ext cx="6807200" cy="3200400"/>
                    </a:xfrm>
                    <a:prstGeom prst="rect">
                      <a:avLst/>
                    </a:prstGeom>
                    <a:noFill/>
                    <a:ln w="9525">
                      <a:noFill/>
                    </a:ln>
                  </pic:spPr>
                </pic:pic>
              </a:graphicData>
            </a:graphic>
          </wp:inline>
        </w:drawing>
      </w:r>
    </w:p>
    <w:p>
      <w:pPr>
        <w:pStyle w:val="3"/>
      </w:pPr>
      <w:r>
        <w:t>Figure 5: Logistic models for odds-ratios of DM by Adiponectin or TNF-alpha, unadjusted (</w:t>
      </w:r>
      <w:r>
        <w:rPr>
          <w:rFonts w:hint="default"/>
          <w:lang w:val="en"/>
        </w:rPr>
        <w:t>purple</w:t>
      </w:r>
      <w:r>
        <w:t>) and adjusted for BMI Z score (</w:t>
      </w:r>
      <w:r>
        <w:rPr>
          <w:rFonts w:hint="default"/>
          <w:lang w:val="en"/>
        </w:rPr>
        <w:t>orange</w:t>
      </w:r>
      <w:r>
        <w:t>), Age at inclusion and Sex (blue) and all three covariates combined (</w:t>
      </w:r>
      <w:r>
        <w:rPr>
          <w:rFonts w:hint="default"/>
          <w:lang w:val="en"/>
        </w:rPr>
        <w:t>green</w:t>
      </w:r>
      <w:r>
        <w:t>). Adiponectin, TNF-alpha and age were transformed to base 2 logarithms, therefore odds ratios are referenced to every doubling of original values.</w:t>
      </w:r>
    </w:p>
    <w:p>
      <w:pPr>
        <w:pStyle w:val="3"/>
      </w:pPr>
    </w:p>
    <w:p>
      <w:pPr>
        <w:pStyle w:val="2"/>
        <w:bidi w:val="0"/>
        <w:rPr>
          <w:rFonts w:hint="default"/>
          <w:lang w:val="en"/>
        </w:rPr>
      </w:pPr>
      <w:r>
        <w:rPr>
          <w:rFonts w:hint="default"/>
          <w:lang w:val="en"/>
        </w:rPr>
        <w:br w:type="page"/>
      </w:r>
      <w:r>
        <w:rPr>
          <w:rFonts w:hint="default"/>
          <w:lang w:val="en"/>
        </w:rPr>
        <w:t>Extra</w:t>
      </w:r>
    </w:p>
    <w:p>
      <w:pPr>
        <w:pStyle w:val="4"/>
      </w:pPr>
      <w:bookmarkStart w:id="8" w:name="adiponectin"/>
      <w:r>
        <w:t>Adiponectin</w:t>
      </w:r>
      <w:bookmarkEnd w:id="8"/>
    </w:p>
    <w:tbl>
      <w:tblPr>
        <w:tblStyle w:val="13"/>
        <w:tblW w:w="10800" w:type="dxa"/>
        <w:jc w:val="center"/>
        <w:tblInd w:w="0" w:type="dxa"/>
        <w:tblLayout w:type="fixed"/>
        <w:tblCellMar>
          <w:top w:w="0" w:type="dxa"/>
          <w:left w:w="108" w:type="dxa"/>
          <w:bottom w:w="0" w:type="dxa"/>
          <w:right w:w="108" w:type="dxa"/>
        </w:tblCellMar>
      </w:tblPr>
      <w:tblGrid>
        <w:gridCol w:w="4170"/>
        <w:gridCol w:w="1338"/>
        <w:gridCol w:w="1412"/>
        <w:gridCol w:w="1926"/>
        <w:gridCol w:w="1954"/>
      </w:tblGrid>
      <w:tr>
        <w:tblPrEx>
          <w:tblLayout w:type="fixed"/>
          <w:tblCellMar>
            <w:top w:w="0" w:type="dxa"/>
            <w:left w:w="108" w:type="dxa"/>
            <w:bottom w:w="0" w:type="dxa"/>
            <w:right w:w="108" w:type="dxa"/>
          </w:tblCellMar>
        </w:tblPrEx>
        <w:trPr>
          <w:cantSplit/>
          <w:trHeight w:val="294" w:hRule="exact"/>
          <w:tblHeader/>
          <w:jc w:val="center"/>
        </w:trPr>
        <w:tc>
          <w:tcPr>
            <w:tcW w:w="417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Subset</w:t>
            </w:r>
          </w:p>
        </w:tc>
        <w:tc>
          <w:tcPr>
            <w:tcW w:w="133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w:t>
            </w:r>
          </w:p>
        </w:tc>
        <w:tc>
          <w:tcPr>
            <w:tcW w:w="14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±SD</w:t>
            </w:r>
          </w:p>
        </w:tc>
        <w:tc>
          <w:tcPr>
            <w:tcW w:w="192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 (Min:Max)</w:t>
            </w:r>
          </w:p>
        </w:tc>
        <w:tc>
          <w:tcPr>
            <w:tcW w:w="195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geom, SD</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(μg/mL) (Shapiro-Wilk normality test: p=0.020)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(total)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(100.0%)</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13.91 ±4.0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13.34, 1.3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(Wilcoxon rank sum test with continuity correction: p=0.774)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(44.1%)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14.07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 (55.9%)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13.78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(7.0:22.3)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13.34, 1.3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Sex (Wilcoxon rank sum test with continuity correction: p=0.620)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13.64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(7.0:26.6)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13.08, 1.3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14.20 ±4.1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13.63, 1.3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Place of living (Wilcoxon rank sum test with continuity correction: p=0.419)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13.45 ±3.5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(6.8:21.6)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12.97, 1.3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14.24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(7.0:26.6)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Form of onset (Wilcoxon rank sum test with continuity correction: p=0.367)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13.91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13.16, 1.4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15.24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 (9.9:23.3)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14.76, 1.3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Decompensation stage (Kruskal-Wallis rank sum test: p=0.547)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13.42 ±5.2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 (6.8:21.5)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12.52, 1.5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15.45 ±6.0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(10.3:22.1)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14.70, 1.5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12.71 ±3.8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 (7.2:21.6)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12.18, 1.4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14.17 ±6.2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(7.3:26.6)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13.11, 1.5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16.29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 (11.7:25.1)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15.88, 1.3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15.70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15.7 (15.2:16.2)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15.70, 1.0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13.75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(9.8:18.5)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13.33, 1.3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injections/day (Kruskal-Wallis rank sum test: p=0.070)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14.78 ±5.1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 (7.2:26.6)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12.78 ±4.1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(6.8:25.1)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12.21, 1.4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17.00 ±3.5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16.0 (14.0:22.1)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16.75, 1.2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Autoimmune disease (Kruskal-Wallis rank sum test: p=0.707)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(85.5%)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14.01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13.49, 1.3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BC</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15.38 ±3.3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15.4 (13.1:17.7)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15.21, 1.2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13.81 ±5.7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 (7.2:21.6)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12.68, 1.6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TAI+BC</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12.12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11.7 (8.5:16.2)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11.83, 1.3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Acute complications (Kruskal-Wallis rank sum test: p=0.660)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13.24 ±5.7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15.2 (6.8:17.7)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12.25, 1.7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10.11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 (7.2:13.2)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9.82, 1.3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11.58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11.6 (8.5:14.6)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11.18, 1.5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13.77 ±2.3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(11.8:18.5)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13.62, 1.2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13.12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(13.1:13.1)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13.12,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14.69 ±5.1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(7.2:26.6)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Neuropathy (Kruskal-Wallis rank sum test: p=0.315)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18.96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19.0 (19.0:19.0)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18.96,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12.59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(9.8:15.7)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13.53 ±1.8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(11.6:15.2)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13.45, 1.1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25.14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 (25.1:25.1)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25.14,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12.27 ±2.7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(7.3:16.9)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11.98, 1.3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14.37 ±5.1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Nephropathy (Kruskal-Wallis rank sum test: p=0.379)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15.16 ±1.9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14.9 (13.1:17.7)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15.08, 1.1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18.74 ±9.0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18.7 (12.3:25.1)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17.62, 1.7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13.77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13.03, 1.4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Retinopathy (Kruskal-Wallis rank sum test: p=0.150)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17.70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17.7 (17.7:17.7)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17.70,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13.77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13.09, 1.4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25.14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 (25.1:25.1)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25.14, NA</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Atopies (Wilcoxon rank sum test with continuity correction: p=0.277)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yes</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14.62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 (7.0:22.3)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13.76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13.21, 1.3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1 (ANOVA: p=0.309)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12.79 ±3.1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(7.2:19.8)</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14.89 ±4.9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13.51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 (7.5:21.5)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12.87, 1.4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2 (Kruskal-Wallis rank sum test: p=0.488)</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13.55 ±4.0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(7.0:23.3)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12.95, 1.4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14.63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13.63 ±4.0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(9.6:22.3)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13.18, 1.3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GSTM genotype (Welch Two Sample t-test: p=0.123)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15.14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 (7.2:25.1)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14.49, 1.4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13.41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GSTT genotype (Welch Two Sample t-test: p=0.069)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15.66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15.2 (7.6:25.1)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15.00, 1.4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13.43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12.9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TNF-alfa genotype (ANOVA: p=0.876)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14.31 ±4.0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 (7.2:23.3)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13.75, 1.3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13.65 ±5.9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12.59, 1.5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14.63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(14.6:14.6)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14.63, NA</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risk (Wilcoxon rank sum test with continuity correction: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8.28 ±1.0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 (6.8:9.9)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8.22, 1.1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15.06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 (10.2:26.6)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14.72, 1.2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risk (Wilcoxon rank sum test with continuity correction: p=0.740)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high</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14.35 ±4.9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normal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13.58 ±3.2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(7.3:22.1)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13.18, 1.3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Adiponectin (Kruskal-Wallis rank sum test: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medium-high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8.21 ±1.1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8.0 (6.8:9.9)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8.14, 1.1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low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15.46 ±4.1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 (10.3:26.6)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14.99, 1.3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medium-high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8.34 ±0.9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 (7.0:9.6)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8.30, 1.1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low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14.75 ±2.7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(10.2:22.3)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14.52, 1.2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TNF-alpha (Kruskal-Wallis rank sum test: p=0.735)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14.38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13.64, 1.4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normal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12.74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 (7.3:22.1)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12.13, 1.4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(6.8%)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14.16 ±5.7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(7.0:22.3)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13.10, 1.5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normal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(49.2%)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13.73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(7.5:19.9)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13.38, 1.3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ameteala (Wilcoxon rank sum test with continuity correction: p=0.257)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18.54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 (18.5:18.5)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18.54,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13.98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cetoacidoza inaugurala (Wilcoxon rank sum test with continuity correction: p=0.286)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9.93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 (9.9:9.9)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9.93,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14.15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dureri abdominale (Wilcoxon rank sum test with continuity correction: p=0.270)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15.63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(13.4:21.5)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15.38, 1.2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(90.4%)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13.90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13.13, 1.4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fatigabilitate (Wilcoxon rank sum test with continuity correction: p=0.111)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18.88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18.9 (15.7:22.1)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18.62, 1.3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13.87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lipotimie (Wilcoxon rank sum test with continuity correction: p=0.257)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18.54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 (18.5:18.5)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18.54,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13.98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nicturie (Wilcoxon rank sum test with continuity correction: p=0.626)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12.89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12.6 (8.5:17.7)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12.51, 1.3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14.22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obnubilare (Wilcoxon rank sum test with continuity correction: p=0.295)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17.65 ±5.4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17.6 (13.8:21.5)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17.23, 1.4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13.92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polidipsie (Wilcoxon rank sum test with continuity correction: p=0.784)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14.05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13.30, 1.4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14.37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(9.9:18.5)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polifagie (Wilcoxon rank sum test with continuity correction: p=0.453)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14.94 ±3.8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(10.4:21.5)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14.54, 1.3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(82.7%)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13.88 ±4.9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poliurie (Wilcoxon rank sum test with continuity correction: p=0.784)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14.05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13.30, 1.4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14.37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(9.9:18.5)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scadere in greutate (Wilcoxon rank sum test with continuity correction: p=0.592)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13.70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(28.8%)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14.98 ±5.6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(7.2:26.6)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14.05, 1.5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hiperglicemie (Wilcoxon rank sum test with continuity correction: p=0.666)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16.10 ±8.4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(8.5:25.1)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14.65, 1.7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13.94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somnolenta (Wilcoxon rank sum test with continuity correction: p=0.067)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20.23 ±1.8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20.2 (19.0:21.5)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20.19, 1.1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13.82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varsaturi (Wilcoxon rank sum test with continuity correction: p=0.391)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15.68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 (13.4:21.5)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15.36, 1.3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(92.3%)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13.93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13.17, 1.4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cheilartropatie diabetica (Wilcoxon rank sum test with continuity correction: p=0.289)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16.06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16.9 (12.3:19.0)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15.81, 1.2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13.94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dyslipidemias (Wilcoxon rank sum test with continuity correction: p=0.550)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14.82 ±4.8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 (8.3:25.1)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14.16, 1.4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(73.1%)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13.79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Dawn phenomenon (Wilcoxon rank sum test with continuity correction: p=0.138)</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12.99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 (7.2:22.1)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12.22, 1.4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14.86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hepatopathy (Wilcoxon rank sum test with continuity correction: p=0.521)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15.66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15.7 (12.3:19.0)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15.30, 1.4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14.00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hipomagneziemie (Wilcoxon rank sum test with continuity correction: p=0.894)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13.12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 (13.1:13.1)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13.12,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14.09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resistance (Wilcoxon rank sum test with continuity correction: p=0.651)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11.90 ±5.0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 (8.3:15.4)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11.36, 1.5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14.15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13.6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13.42, 1.4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lipodystrophies (Wilcoxon rank sum test with continuity correction: p=0.815)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14.17 ±4.9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(7.2:26.6)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13.37, 1.4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(32.7%)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13.86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 (6.8:23.3)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lipoidic necrosis (Wilcoxon rank sum test with continuity correction: p=0.143)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7.31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 (7.3:7.3)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7.31,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14.20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severe growth retardation (Wilcoxon rank sum test with continuity correction: p=0.230)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18.96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19.0 (19.0:19.0)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18.96,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13.97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cholestasis (Wilcoxon rank sum test with continuity correction: p=0.183)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8.35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 (8.3:8.3)</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8.35,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14.18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 (6.8:26.6)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eating disorders (Wilcoxon rank sum test with continuity correction: p=0.096)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26.61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26.6 (26.6:26.6)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26.61,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13.82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(6.8:25.1)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none (Wilcoxon rank sum test with continuity correction: p=0.362)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12.31 ±3.1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13.2 (6.8:16.2)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11.92, 1.3</w:t>
            </w:r>
          </w:p>
        </w:tc>
      </w:tr>
      <w:tr>
        <w:tblPrEx>
          <w:tblLayout w:type="fixed"/>
          <w:tblCellMar>
            <w:top w:w="0" w:type="dxa"/>
            <w:left w:w="108" w:type="dxa"/>
            <w:bottom w:w="0" w:type="dxa"/>
            <w:right w:w="108" w:type="dxa"/>
          </w:tblCellMar>
        </w:tblPrEx>
        <w:trPr>
          <w:cantSplit/>
          <w:trHeight w:val="294" w:hRule="exact"/>
          <w:jc w:val="center"/>
        </w:trPr>
        <w:tc>
          <w:tcPr>
            <w:tcW w:w="4170"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45 (86.5%)</w:t>
            </w:r>
          </w:p>
        </w:tc>
        <w:tc>
          <w:tcPr>
            <w:tcW w:w="141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14.34 ±4.9</w:t>
            </w:r>
          </w:p>
        </w:tc>
        <w:tc>
          <w:tcPr>
            <w:tcW w:w="192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(7.2:26.6)</w:t>
            </w:r>
          </w:p>
        </w:tc>
        <w:tc>
          <w:tcPr>
            <w:tcW w:w="195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13.56, 1.4</w:t>
            </w:r>
          </w:p>
        </w:tc>
      </w:tr>
    </w:tbl>
    <w:p>
      <w:pPr>
        <w:bidi w:val="0"/>
      </w:pPr>
      <w:bookmarkStart w:id="9" w:name="log2-adiponectin"/>
    </w:p>
    <w:p>
      <w:pPr>
        <w:pStyle w:val="5"/>
      </w:pPr>
      <w:r>
        <w:t>log2: Adiponectin</w:t>
      </w:r>
      <w:bookmarkEnd w:id="9"/>
    </w:p>
    <w:p>
      <w:pPr>
        <w:pStyle w:val="3"/>
      </w:pPr>
    </w:p>
    <w:tbl>
      <w:tblPr>
        <w:tblStyle w:val="13"/>
        <w:tblW w:w="10800" w:type="dxa"/>
        <w:jc w:val="center"/>
        <w:tblInd w:w="0" w:type="dxa"/>
        <w:tblLayout w:type="fixed"/>
        <w:tblCellMar>
          <w:top w:w="0" w:type="dxa"/>
          <w:left w:w="108" w:type="dxa"/>
          <w:bottom w:w="0" w:type="dxa"/>
          <w:right w:w="108" w:type="dxa"/>
        </w:tblCellMar>
      </w:tblPr>
      <w:tblGrid>
        <w:gridCol w:w="5091"/>
        <w:gridCol w:w="1634"/>
        <w:gridCol w:w="1723"/>
        <w:gridCol w:w="2352"/>
      </w:tblGrid>
      <w:tr>
        <w:tblPrEx>
          <w:tblLayout w:type="fixed"/>
          <w:tblCellMar>
            <w:top w:w="0" w:type="dxa"/>
            <w:left w:w="108" w:type="dxa"/>
            <w:bottom w:w="0" w:type="dxa"/>
            <w:right w:w="108" w:type="dxa"/>
          </w:tblCellMar>
        </w:tblPrEx>
        <w:trPr>
          <w:cantSplit/>
          <w:trHeight w:val="294" w:hRule="exact"/>
          <w:tblHeader/>
          <w:jc w:val="center"/>
        </w:trPr>
        <w:tc>
          <w:tcPr>
            <w:tcW w:w="50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Subset</w:t>
            </w:r>
          </w:p>
        </w:tc>
        <w:tc>
          <w:tcPr>
            <w:tcW w:w="16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w:t>
            </w:r>
          </w:p>
        </w:tc>
        <w:tc>
          <w:tcPr>
            <w:tcW w:w="172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±SD</w:t>
            </w:r>
          </w:p>
        </w:tc>
        <w:tc>
          <w:tcPr>
            <w:tcW w:w="235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 (Min:Max)</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(μg/mL) (Shapiro-Wilk normality test: p=0.072)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(total)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(100.0%)</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(Welch Two Sample t-test: p=0.989)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(44.1%)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 (55.9%)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Sex (Welch Two Sample t-test: p=0.457)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3.77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Place of living (Welch Two Sample t-test: p=0.376)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3.77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Form of onset (Welch Two Sample t-test: p=0.377)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3.88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(3.3:4.5)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Decompensation stage (ANOVA: p=0.655)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3.65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3.88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(3.4:4.5)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(2.9:4.7)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3.99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(3.5:4.7)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3.97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(3.9:4.0)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(3.3:4.2)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injections/day (ANOVA: p=0.141)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4.07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(3.8:4.5)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Autoimmune disease (ANOVA: p=0.655)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(85.5%)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BC</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3.93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(3.7:4.1)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3.66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TAI+BC</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3.56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(3.1:4.0)</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Acute complications (ANOVA: p=0.597)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3.61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(2.8:4.1)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3.29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(2.9:3.7)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(3.1:3.9)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3.77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(3.6:4.2)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(3.7:3.7)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Neuropathy (ANOVA: p=0.305)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4.24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(4.2:4.2)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3.63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(3.3:4.0)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(3.5:3.9)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4.65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(4.7:4.7)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3.58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(2.9:4.1)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Nephropathy (ANOVA: p=0.346)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3.91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(3.7:4.1)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4.14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 (3.6:4.7)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Retinopathy (ANOVA: p=0.104)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4.15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 (4.1:4.1)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4.65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(4.7:4.7)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Atopies (Welch Two Sample t-test: p=0.495)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yes</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(2.8:4.5)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1 (ANOVA: p=0.421)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3.64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(2.9:4.3)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(2.9:4.4)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2 (ANOVA: p=0.443)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(3.3:4.5)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GSTM genotype (Welch Two Sample t-test: p=0.111)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3.86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(2.9:4.7)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GSTT genotype (Welch Two Sample t-test: p=0.060)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(2.9:4.7)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TNF-alfa genotype (ANOVA: p=0.619)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3.78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3.65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3.87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(3.9:3.9)</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risk (Welch Two Sample t-test: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3.04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(2.8:3.3)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3.88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(3.4:4.7)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risk (Welch Two Sample t-test: p=0.639)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high</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3.76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normal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(2.9:4.5)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Adiponectin (ANOVA: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medium-high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3.02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(2.8:3.3)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low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(3.4:4.7)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medium-high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3.05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(2.8:3.3)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low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3.86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(3.4:4.5)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TNF-alpha (ANOVA: p=0.731)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normal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(2.9:4.5)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(6.8%)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normal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(49.2%)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(2.9:4.3)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ameteala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4.21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(4.2:4.2)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cetoacidoza inaugurala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3.31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(3.3:3.3)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dureri abdominale (Welch Two Sample t-test: p=0.159)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3.94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(3.7:4.4)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(90.4%)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fatigabilitate (Welch Two Sample t-test: p=0.271)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4.22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(4.0:4.5)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lipotimie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4.21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(4.2:4.2)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nicturie (Welch Two Sample t-test: p=0.570)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(3.1:4.1)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obnubilare (Welch Two Sample t-test: p=0.436)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 (3.8:4.4)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polidipsie (Welch Two Sample t-test: p=0.829)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(3.3:4.2)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polifagie (Welch Two Sample t-test: p=0.300)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3.86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(3.4:4.4)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(82.7%)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poliurie (Welch Two Sample t-test: p=0.829)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(3.3:4.2)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scadere in greutate (Welch Two Sample t-test: p=0.507)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(28.8%)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(2.9:4.7)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hiperglicemie (Welch Two Sample t-test: p=0.780)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3.87 ±0.8</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(3.1:4.7)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somnolenta (Welch Two Sample t-test: p=0.021)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4.34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(4.2:4.4)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varsaturi (Welch Two Sample t-test: p=0.275)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3.94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(3.7:4.4)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(92.3%)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cheilartropatie diabetica (Welch Two Sample t-test: p=0.290)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3.98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4.1 (3.6:4.2)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dyslipidemias (Welch Two Sample t-test: p=0.414)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(3.1:4.7)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(73.1%)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Dawn phenomenon (Welch Two Sample t-test: p=0.117)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3.83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hepatopathy (Welch Two Sample t-test: p=0.623)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(3.6:4.2)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hipomagneziemie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3.71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(3.7:3.7)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resistance (Welch Two Sample t-test: p=0.683)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3.51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(3.1:3.9)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lipodystrophies (Welch Two Sample t-test: p=0.926)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(32.7%)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lipoidic necrosis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2.87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(2.9:2.9)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severe growth retardation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4.24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(4.2:4.2)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cholestasis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3.06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(3.1:3.1)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eating disorders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4.73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(4.7:4.7)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none (Welch Two Sample t-test: p=0.310)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3.58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(2.8:4.0)</w:t>
            </w:r>
          </w:p>
        </w:tc>
      </w:tr>
      <w:tr>
        <w:tblPrEx>
          <w:tblLayout w:type="fixed"/>
          <w:tblCellMar>
            <w:top w:w="0" w:type="dxa"/>
            <w:left w:w="108" w:type="dxa"/>
            <w:bottom w:w="0" w:type="dxa"/>
            <w:right w:w="108" w:type="dxa"/>
          </w:tblCellMar>
        </w:tblPrEx>
        <w:trPr>
          <w:cantSplit/>
          <w:trHeight w:val="294" w:hRule="exact"/>
          <w:jc w:val="center"/>
        </w:trPr>
        <w:tc>
          <w:tcPr>
            <w:tcW w:w="50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45 (86.5%)</w:t>
            </w:r>
          </w:p>
        </w:tc>
        <w:tc>
          <w:tcPr>
            <w:tcW w:w="172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3.76 ±0.5</w:t>
            </w:r>
          </w:p>
        </w:tc>
        <w:tc>
          <w:tcPr>
            <w:tcW w:w="235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(2.8:4.7)</w:t>
            </w:r>
          </w:p>
        </w:tc>
      </w:tr>
    </w:tbl>
    <w:p>
      <w:pPr>
        <w:pStyle w:val="5"/>
      </w:pPr>
      <w:bookmarkStart w:id="10" w:name="adiponectin-risk"/>
      <w:r>
        <w:t>Adiponectin risk</w:t>
      </w:r>
      <w:bookmarkEnd w:id="10"/>
    </w:p>
    <w:p>
      <w:pPr>
        <w:pStyle w:val="25"/>
      </w:pPr>
      <w:r>
        <w:t>Patients with high or medium risk based on andiponectin values had significantly higer BMI Z-scores, Age at onset and lower HDL values compared to low risk patients.</w:t>
      </w:r>
    </w:p>
    <w:tbl>
      <w:tblPr>
        <w:tblStyle w:val="13"/>
        <w:tblW w:w="10800" w:type="dxa"/>
        <w:jc w:val="center"/>
        <w:tblInd w:w="0" w:type="dxa"/>
        <w:tblLayout w:type="fixed"/>
        <w:tblCellMar>
          <w:top w:w="0" w:type="dxa"/>
          <w:left w:w="108" w:type="dxa"/>
          <w:bottom w:w="0" w:type="dxa"/>
          <w:right w:w="108" w:type="dxa"/>
        </w:tblCellMar>
      </w:tblPr>
      <w:tblGrid>
        <w:gridCol w:w="2233"/>
        <w:gridCol w:w="2275"/>
        <w:gridCol w:w="1521"/>
        <w:gridCol w:w="1521"/>
        <w:gridCol w:w="1521"/>
        <w:gridCol w:w="1729"/>
      </w:tblGrid>
      <w:tr>
        <w:tblPrEx>
          <w:tblLayout w:type="fixed"/>
          <w:tblCellMar>
            <w:top w:w="0" w:type="dxa"/>
            <w:left w:w="108" w:type="dxa"/>
            <w:bottom w:w="0" w:type="dxa"/>
            <w:right w:w="108" w:type="dxa"/>
          </w:tblCellMar>
        </w:tblPrEx>
        <w:trPr>
          <w:cantSplit/>
          <w:trHeight w:val="288" w:hRule="exact"/>
          <w:tblHeader/>
          <w:jc w:val="center"/>
        </w:trPr>
        <w:tc>
          <w:tcPr>
            <w:tcW w:w="22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Variable</w:t>
            </w:r>
          </w:p>
        </w:tc>
        <w:tc>
          <w:tcPr>
            <w:tcW w:w="227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Details</w:t>
            </w:r>
          </w:p>
        </w:tc>
        <w:tc>
          <w:tcPr>
            <w:tcW w:w="15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medium-high</w:t>
            </w:r>
          </w:p>
        </w:tc>
        <w:tc>
          <w:tcPr>
            <w:tcW w:w="15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low</w:t>
            </w:r>
          </w:p>
        </w:tc>
        <w:tc>
          <w:tcPr>
            <w:tcW w:w="15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Total</w:t>
            </w:r>
          </w:p>
        </w:tc>
        <w:tc>
          <w:tcPr>
            <w:tcW w:w="172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2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Adiponectin risk</w:t>
            </w:r>
          </w:p>
        </w:tc>
        <w:tc>
          <w:tcPr>
            <w:tcW w:w="227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52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20 (16.9%)</w:t>
            </w:r>
          </w:p>
        </w:tc>
        <w:tc>
          <w:tcPr>
            <w:tcW w:w="152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98 (83.1%)</w:t>
            </w:r>
          </w:p>
        </w:tc>
        <w:tc>
          <w:tcPr>
            <w:tcW w:w="152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118</w:t>
            </w:r>
          </w:p>
        </w:tc>
        <w:tc>
          <w:tcPr>
            <w:tcW w:w="1729"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Sex</w:t>
            </w:r>
          </w:p>
        </w:tc>
        <w:tc>
          <w:tcPr>
            <w:tcW w:w="227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52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(65.0%)</w:t>
            </w:r>
          </w:p>
        </w:tc>
        <w:tc>
          <w:tcPr>
            <w:tcW w:w="152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(50.0%)</w:t>
            </w:r>
          </w:p>
        </w:tc>
        <w:tc>
          <w:tcPr>
            <w:tcW w:w="152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729"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OR=1.86 [0.68, 5.05] (p=0.326)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(35.0%)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(50.0%)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Place of living</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(35.0%)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(43.9%)</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OR=0.69 [0.25, 1.88] (p=0.621)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(65.0%)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55 (56.1%)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Age at inclusion (years)</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(2:17)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 (1:18)</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 (1:18)</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p=0.458</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12.35 ±3.95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11.29 ±4.79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11.47 ±4.66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Weight (kg)</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54.5 (11:84)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41 (6.5:80.5)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42.5 (6.5:84)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p=0.049</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50.10 ±19.1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40.68 ±19.0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42.28 ±19.3</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Weight - Z score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-0.11 (-1.1:1.36)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-0.08 (-3.52:3.04)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 (-3.52:3.04)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p=0.822</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0.036 ±0.911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0.173 ±1.31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0.158 ±1.27</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Height (cm)</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161.65 (85.92:181.07)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150.05 (72.11:190.42)</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151.85 (72.11:190.42)</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p=0.268</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152.09 ±22.2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145.08 ±25.5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146.27 ±25.0</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Height - Z score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 (-1.88:3.07)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0.48 (-3.4:3.81)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0.45 (-3.4:3.81)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p=0.815</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0.477 ±1.22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0.404 ±1.27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0.417 ±1.26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BMI (kg/m²)</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20.16 (13.3:30.9)</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17.79 (10.7:26.76)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18.21 (10.7:30.9)</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T-test: p=0.006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20.61 ±4.62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17.99 ±3.67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18.43 ±3.95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BMI - Z score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0.22 (-1.5:2.57)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-0.12 (-4.85:4.54)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-0.02 (-4.85:4.54)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p=0.056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0.531 ±1.24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-0.259 ±1.48</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-0.125 ±1.47</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Adiponectin (μg/mL)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8.27 (6.82:9.93)</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14.5 (10.2:26.61)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13.8 (6.82:26.61)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8.28 ±0.987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15.06 ±3.35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13.91 ±4.0</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TNF-alpha (pg/mL)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8.15 (5.8:15.5)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(5.3:27.1)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(5.3:27.1)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p=0.303</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9.24 ±2.71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9.03 ±3.76</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9.07 ±3.59</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Alpha-1 antitrypsin (mg/dL)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143.5 (116:240)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142.5 (98:201)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142.5 (98:240)</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p=0.698</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150.85 ±30.7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145.52 ±25.3</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146.42 ±26.2</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Total cholesterol (mg/dL)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159.5 (112:194)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159 (99:353)</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159 (99:353)</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p=0.500</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157.90 ±21.4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166.86 ±36.9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165.34 ±34.8</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Triglycerides (mg/dL)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63.5 (24:187)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69.5 (26:318)</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 (24:318)</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p=0.818</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82.25 ±45.5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79.93 ±42.2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80.32 ±42.6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HDL cholesterol (mg/dL)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48 (36:63)</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54 (31:84)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53 (31:84)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p=0.017</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48.90 ±7.52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54.70 ±10.5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53.72 ±10.3</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TNF-alpha risk</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high</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(50.0%)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(40.8%)</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OR=1.45 [0.55, 3.80] (p=0.467)</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normal</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(50.0%)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(59.2%)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 : Adiponectin</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medium-high risk</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(50.0%)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V</w:t>
            </w:r>
            <w:r>
              <w:rPr>
                <w:rFonts w:eastAsia="Times New Roman" w:cs="Times New Roman"/>
                <w:b/>
                <w:color w:val="111111"/>
                <w:sz w:val="20"/>
                <w:szCs w:val="20"/>
                <w:lang w:val="en"/>
              </w:rPr>
              <w:t>&gt;</w:t>
            </w:r>
            <w:r>
              <w:rPr>
                <w:rFonts w:ascii="Times New Roman" w:hAnsi="Times New Roman" w:eastAsia="Times New Roman" w:cs="Times New Roman"/>
                <w:b/>
                <w:color w:val="111111"/>
                <w:sz w:val="20"/>
                <w:szCs w:val="20"/>
              </w:rPr>
              <w:t>0.99 (p&lt;0.001)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low risk</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(42.9%)</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(35.6%)</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medium-high risk</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(50.0%)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low risk</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56 (57.1%)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56 (47.5%)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Group : TNF-alpha</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high risk</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(40.0%)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(34.7%)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V=0.09 (p=0.807)</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normal risk</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(8.2%)</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high risk</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(6.1%)</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(6.8%)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normal risk</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(40.0%)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(51.0%)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(49.2%)</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Group</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(50.0%)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(42.9%)</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(44.1%)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OR=1.33 [0.51, 3.49] (p=0.625)</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(50.0%)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(57.1%)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 (55.9%)</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Age at onset (years)</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8.5 (5:15)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 (1:16)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 (1:16)</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p=0.019</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9.10 ±3.57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6.10 ±3.68</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6.67 ±3.82</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Form of onset</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(90.0%)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(88.1%)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OR=1.22 [0.13, 11.74] (p&gt;0.999)</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Decompensation stage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(30.0%)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(14.3%)</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V=0.30 (p=0.576)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(30.0%)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(26.2%)</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(30.0%)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(19.0%)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(19.0%)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Glycaemia (mg/dL)</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82.5 (72:92)</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(53:116)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 (53:116)</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p=0.395</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82.30 ±6.72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84.27 ±9.49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83.97 ±9.11</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HbA1C (%)</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6.35 (4.1:12)</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5.5 (4:15.4)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5.5 (4:15.4)</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p=0.588</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6.58 ±2.34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6.70 ±2.46</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6.68 ±2.43</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necessity</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 (0.56:1.51)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(0.36:1.5)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(0.36:1.51)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p=0.761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0.995 ±0.296</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0.953 ±0.253</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0.961 ±0.26</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injections/day</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(40.0%)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(50.0%)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V=0.19 (p=0.403)</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(60.0%)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(40.5%)</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SBP (mmHg)</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107.5 (80:120)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(80:130)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(80:130)</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p=0.377</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104.50 ±13.3</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102.35 ±12.0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102.71 ±12.2</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DBP (mmHg)</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57.5 (40:70)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60 (35:80)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60 (35:80)</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p=0.603</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56.00 ±8.37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57.30 ±10.5</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57.08 ±10.1</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Autoimmune disease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(75.0%)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(87.6%)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(85.5%)</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V=0.20 (p=0.216)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positive ANA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BC</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(2.1%)</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(1.7%)</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(20.0%)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(6.2%)</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TAI+BC</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(5.0%)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(4.1%)</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(4.3%)</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Age at onset of autoimmune disease (years)</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(7:15)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(2:16)</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(2:16)</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p=0.634</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9.80 ±3.03</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8.77 ±4.32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9.06 ±3.95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Acute complications</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V=0.39 (p=0.156)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(16.7%)</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(60.0%)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(71.4%)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Neuropathy</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V=0.18 (p=0.893)</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(70.0%)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 (61.9%)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Nephropathy</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V=0.18 (p=0.446)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(85.7%)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Retinopathy</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V=0.10 (p=0.781)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(95.2%)</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Atopies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(15.0%)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(17.3%)</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OR=0.84 [0.22, 3.19] (p&gt;0.999)</w:t>
            </w: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 Q genotype 1</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(9.1%)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(18.5%)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V=0.11 (p=0.657)</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(54.5%)</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(55.6%)</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(36.4%)</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(25.9%)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 Q genotype 2</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(66.7%)</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(45.1%)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V=0.16 (p=0.306)</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(26.7%)</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(42.7%)</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(6.7%)</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(12.2%)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GSTM genotype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(36.4%)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24 (44.4%)</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OR=0.71 [0.19, 2.73] (p=0.745)</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(63.6%)</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(55.6%)</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GSTT genotype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(18.2%)</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19 (35.2%)</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OR=0.41 [0.08, 2.09] (p=0.480)</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(81.8%)</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(64.8%)</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TNF-alfa genotype</w:t>
            </w:r>
          </w:p>
        </w:tc>
        <w:tc>
          <w:tcPr>
            <w:tcW w:w="227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(54.5%)</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(77.8%)</w:t>
            </w:r>
          </w:p>
        </w:tc>
        <w:tc>
          <w:tcPr>
            <w:tcW w:w="152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729"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V=0.22 (p=0.201)</w:t>
            </w: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75"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(45.5%)</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(20.4%)</w:t>
            </w:r>
          </w:p>
        </w:tc>
        <w:tc>
          <w:tcPr>
            <w:tcW w:w="152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729"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33"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7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52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729"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ameteala</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[0.05, 34.71]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inaugurala</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OR=13.42 [0.51, 355.60] (p=0.192)</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dureri abdominale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OR=0.32 [0.02, 6.36] (p=0.569)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fatigabilitate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OR=0.77 [0.03, 17.32]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lipotimie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[0.05, 34.71]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nicturie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OR=0.82 [0.09, 7.94]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obnubilare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OR=0.77 [0.03, 17.32]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polidipsie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(90.0%)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(95.2%)</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OR=0.45 [0.04, 5.52] (p=0.481)</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polifagie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OR=0.17 [0.01, 3.14] (p=0.178)</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poliurie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(90.0%)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(95.2%)</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OR=0.45 [0.04, 5.52] (p=0.481)</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scadere in greutate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(70.0%)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(71.4%)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OR=0.93 [0.21, 4.22]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hiperglicemie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OR=2.22 [0.18, 27.26] (p=0.481)</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somnolenta</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OR=0.77 [0.03, 17.32]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varsaturi</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OR=0.41 [0.02, 8.19] (p=0.576)</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cheilartropatie diabetica</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OR=0.54 [0.03, 11.24]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dyslipidemias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(31.0%)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OR=0.25 [0.03, 2.16] (p=0.254)</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Dawn phenomenon</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(70.0%)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(35.7%)</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OR=4.20 [0.94, 18.68] (p=0.075)</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hepatopathy</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OR=0.77 [0.03, 17.32]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hipomagneziemie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[0.05, 34.71]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resistance</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OR=4.56 [0.26, 79.88] (p=0.351)</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lipodystrophies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(70.0%)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(66.7%)</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OR=1.17 [0.26, 5.21]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lipoidic necrosis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OR=13.42 [0.51, 355.60] (p=0.192)</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severe growth retardation</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[0.05, 34.71]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cholestasis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OR=13.42 [0.51, 355.60] (p=0.192)</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eating disorders</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21"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9"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OR=1.32 [0.05, 34.71] (p&gt;0.999)</w:t>
            </w:r>
          </w:p>
        </w:tc>
      </w:tr>
      <w:tr>
        <w:tblPrEx>
          <w:tblLayout w:type="fixed"/>
          <w:tblCellMar>
            <w:top w:w="0" w:type="dxa"/>
            <w:left w:w="108" w:type="dxa"/>
            <w:bottom w:w="0" w:type="dxa"/>
            <w:right w:w="108" w:type="dxa"/>
          </w:tblCellMar>
        </w:tblPrEx>
        <w:trPr>
          <w:cantSplit/>
          <w:trHeight w:val="288" w:hRule="exact"/>
          <w:jc w:val="center"/>
        </w:trPr>
        <w:tc>
          <w:tcPr>
            <w:tcW w:w="4508"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none</w:t>
            </w:r>
          </w:p>
        </w:tc>
        <w:tc>
          <w:tcPr>
            <w:tcW w:w="1521"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21"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21"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9"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OR=1.85 [0.30, 11.29] (p=0.608)</w:t>
            </w:r>
          </w:p>
        </w:tc>
      </w:tr>
      <w:tr>
        <w:tblPrEx>
          <w:tblLayout w:type="fixed"/>
          <w:tblCellMar>
            <w:top w:w="0" w:type="dxa"/>
            <w:left w:w="108" w:type="dxa"/>
            <w:bottom w:w="0" w:type="dxa"/>
            <w:right w:w="108" w:type="dxa"/>
          </w:tblCellMar>
        </w:tblPrEx>
        <w:trPr>
          <w:cantSplit/>
          <w:trHeight w:val="288" w:hRule="exac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i/>
                <w:color w:val="000000"/>
                <w:sz w:val="20"/>
                <w:szCs w:val="20"/>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3"/>
      </w:pPr>
    </w:p>
    <w:p>
      <w:pPr>
        <w:pStyle w:val="4"/>
      </w:pPr>
      <w:bookmarkStart w:id="11" w:name="tnf-alpha"/>
      <w:r>
        <w:t>TNF alpha</w:t>
      </w:r>
      <w:bookmarkEnd w:id="11"/>
    </w:p>
    <w:p>
      <w:pPr>
        <w:pStyle w:val="3"/>
      </w:pPr>
    </w:p>
    <w:tbl>
      <w:tblPr>
        <w:tblStyle w:val="13"/>
        <w:tblW w:w="10800" w:type="dxa"/>
        <w:jc w:val="center"/>
        <w:tblInd w:w="0" w:type="dxa"/>
        <w:tblLayout w:type="fixed"/>
        <w:tblCellMar>
          <w:top w:w="0" w:type="dxa"/>
          <w:left w:w="108" w:type="dxa"/>
          <w:bottom w:w="0" w:type="dxa"/>
          <w:right w:w="108" w:type="dxa"/>
        </w:tblCellMar>
      </w:tblPr>
      <w:tblGrid>
        <w:gridCol w:w="4170"/>
        <w:gridCol w:w="1338"/>
        <w:gridCol w:w="1412"/>
        <w:gridCol w:w="1926"/>
        <w:gridCol w:w="1954"/>
      </w:tblGrid>
      <w:tr>
        <w:tblPrEx>
          <w:tblLayout w:type="fixed"/>
          <w:tblCellMar>
            <w:top w:w="0" w:type="dxa"/>
            <w:left w:w="108" w:type="dxa"/>
            <w:bottom w:w="0" w:type="dxa"/>
            <w:right w:w="108" w:type="dxa"/>
          </w:tblCellMar>
        </w:tblPrEx>
        <w:trPr>
          <w:cantSplit/>
          <w:trHeight w:val="294" w:hRule="exact"/>
          <w:tblHeader/>
          <w:jc w:val="center"/>
        </w:trPr>
        <w:tc>
          <w:tcPr>
            <w:tcW w:w="417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Subset</w:t>
            </w:r>
          </w:p>
        </w:tc>
        <w:tc>
          <w:tcPr>
            <w:tcW w:w="133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w:t>
            </w:r>
          </w:p>
        </w:tc>
        <w:tc>
          <w:tcPr>
            <w:tcW w:w="14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±SD</w:t>
            </w:r>
          </w:p>
        </w:tc>
        <w:tc>
          <w:tcPr>
            <w:tcW w:w="192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 (Min:Max)</w:t>
            </w:r>
          </w:p>
        </w:tc>
        <w:tc>
          <w:tcPr>
            <w:tcW w:w="195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geom, SD</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(pg/mL) (Shapiro-Wilk normality test: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(total)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(100.0%)</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9.07 ±3.6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(Wilcoxon rank sum test with continuity correction: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(44.1%)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11.09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10.46, 1.4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 (55.9%)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7.47 ±1.9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7.1 (5.6:15.5)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7.30, 1.2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Sex (Wilcoxon rank sum test with continuity correction: p=0.365)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9.02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7.9 (5.9:27.1)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8.60, 1.3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9.11 ±3.8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Place of living (Wilcoxon rank sum test with continuity correction: p=0.512)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9.19 ±3.7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(5.5:27.1)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8.68, 1.4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8.98 ±3.5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Form of onset (Wilcoxon rank sum test with continuity correction: p=0.330)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10.98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11.97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(9.1:17.5)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Decompensation stage (Kruskal-Wallis rank sum test: p=0.259)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8.63 ±2.1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8.0 (5.3:11.9)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8.40, 1.3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8.77 ±1.1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9.3 (7.5:9.5)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8.72, 1.1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12.05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(6.5:22.4)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11.36, 1.4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10.73 ±3.2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(7.7:17.5)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10.34, 1.3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13.56 ±6.4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 (8.5:27.1)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12.51, 1.5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10.60 ±2.0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 (9.2:12.0)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10.51, 1.2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11.30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(5.5:16.0)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10.58, 1.5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injections/day (Kruskal-Wallis rank sum test: p=0.193)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11.94 ±4.9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11.17, 1.4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10.52 ±3.6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 (5.5:18.9)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9.10 ±2.2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(7.4:12.0)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8.92, 1.3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Autoimmune disease (Kruskal-Wallis rank sum test: p=0.002)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(85.5%)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8.66 ±3.3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7.6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BC</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8.80 ±0.4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 (8.5:9.1)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8.80, 1.0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9.85 ±1.6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(7.6:12.9)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9.74, 1.2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TAI+BC</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15.48 ±7.2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14.1 (8.0:27.1)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14.28, 1.6</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Acute complications (Kruskal-Wallis rank sum test: p=0.329)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9.93 ±1.4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 (9.1:11.5)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9.88, 1.1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14.80 ±6.9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12.9 (9.1:22.4)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13.80, 1.6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11.85 ±3.2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(9.6:14.1)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11.64, 1.3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12.69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(8.5:18.9)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12.19, 1.4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 (8.2:8.2)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10.61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9.4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9.98, 1.4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Neuropathy (Kruskal-Wallis rank sum test: p=0.499)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 (8.7:8.7)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12.03 ±6.1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(7.4:18.9)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11.11, 1.6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8.53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(7.9:9.2)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8.52, 1.1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 (13.0:13.0)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10.28 ±3.7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8.9 (5.5:16.4)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11.53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10.85, 1.4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Nephropathy (Kruskal-Wallis rank sum test: p=0.195)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9.02 ±0.6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(8.2:9.6)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9.01, 1.1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14.60 ±2.3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 (13.0:16.2)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14.51, 1.2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11.12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10.45, 1.4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Retinopathy (Kruskal-Wallis rank sum test: p=0.620)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(9.1:9.1)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11.10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10.44, 1.4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 (13.0:13.0)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13.00, NA</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Atopies (Wilcoxon rank sum test with continuity correction: p=0.213)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yes</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9.22 ±2.8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8.0 (5.3:16.0)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9.03 ±3.7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7.7 (5.5:27.1)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1 (Kruskal-Wallis rank sum test: p=0.343)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10.35 ±5.0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(5.9:22.4)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9.52, 1.5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10.84 ±4.5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10.08, 1.5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9.12 ±2.3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 (6.2:14.8)</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8.88, 1.3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2 (Kruskal-Wallis rank sum test: p=0.674)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8.72 ±4.0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7.5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8.15, 1.4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9.06 ±3.6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7.7 (5.6:22.4)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8.48 ±2.6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(5.9:15.0)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8.19, 1.3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GSTM genotype (Wilcoxon rank sum test with continuity correction: p=0.648)</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10.23 ±3.3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(5.6:17.5)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10.32 ±4.7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9.55, 1.5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GSTT genotype (Wilcoxon rank sum test with continuity correction: p=0.204)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9.02 ±2.5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 (5.3:16.0)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8.72, 1.3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10.89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(5.6:27.1)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10.11, 1.5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TNF-alfa genotype (Kruskal-Wallis rank sum test: p=0.977)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10.37 ±4.4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9.67, 1.4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10.06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 (5.6:16.2)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9.55, 1.4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(9.6:9.6)</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9.60, NA</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risk (Wilcoxon rank sum test with continuity correction: p=0.303)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9.24 ±2.7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 (5.8:15.5)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8.90, 1.3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9.03 ±3.8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7.8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8.49, 1.4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risk (Wilcoxon rank sum test with continuity correction: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high</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11.97 ±3.9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 (8.1:27.1)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11.47, 1.3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normal</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6.93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7.0 (5.3:8.0)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6.90, 1.1</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Adiponectin (Kruskal-Wallis rank sum test: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medium-high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10.18 ±2.2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9.4 (7.6:14.1)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9.97, 1.2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low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11.31 ±4.6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10.58, 1.4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medium-high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8.30 ±2.9</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 (5.8:15.5)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7.95, 1.3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low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7.32 ±1.6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7.0 (5.6:15.0)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7.19, 1.2</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TNF-alpha (Kruskal-Wallis rank sum test: p&lt;0.001)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12.05 ±4.1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(8.2:27.1)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11.51, 1.3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normal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7.06 ±1.0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7.4 (5.3:8.0)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6.99, 1.2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high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(6.8%)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11.51 ±2.6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 (8.1:15.5)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11.26, 1.3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normal risk</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(49.2%)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6.91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 (5.6:8.0)</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6.88, 1.1</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ameteala (Wilcoxon rank sum test with continuity correction: p=0.739)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(10.4:10.4)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11.11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cetoacidoza inaugurala (Wilcoxon rank sum test with continuity correction: p=0.714)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(9.1:9.1)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11.13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dureri abdominale (Wilcoxon rank sum test with continuity correction: p=0.039)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13.78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14.9 (9.5:16.4)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13.50, 1.3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(90.4%)</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10.81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10.18, 1.4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fatigabilitate (Wilcoxon rank sum test with continuity correction: p=0.048)</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7.45 ±0.1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7.4 (7.4:7.5)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7.45, 1.0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11.24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lipotimie (Wilcoxon rank sum test with continuity correction: p=0.739)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(10.4:10.4)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11.11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10.46, 1.4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nicturie (Wilcoxon rank sum test with continuity correction: p=0.510)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10.27 ±4.1</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8.8 (5.5:16.4)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9.61, 1.5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11.20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10.58, 1.4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obnubilare (Wilcoxon rank sum test with continuity correction: p=0.153)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14.05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14.0 (11.9:16.2)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13.89, 1.2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10.98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polidipsie (Wilcoxon rank sum test with continuity correction: p=0.953)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11.18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9.70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(9.1:10.4)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9.69, 1.1</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polifagie (Wilcoxon rank sum test with continuity correction: p=0.681)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11.58 ±6.5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9.1 (5.5:27.1)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10.40, 1.6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(82.7%)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10.99 ±3.7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10.47, 1.4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poliurie (Wilcoxon rank sum test with continuity correction: p=0.953)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11.18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10.51, 1.4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9.70 ±0.7</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(9.1:10.4)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9.69, 1.1</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scadere in greutate (Wilcoxon rank sum test with continuity correction: p=0.130)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10.43 ±3.4</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9.3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9.97, 1.3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(28.8%)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12.74 ±5.5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 (5.5:27.1)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11.76, 1.5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hiperglicemie (Wilcoxon rank sum test with continuity correction: p=0.307)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12.23 ±2.3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13.0 (9.6:14.1)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12.07, 1.2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11.02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10.37, 1.4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somnolenta (Wilcoxon rank sum test with continuity correction: p=0.981)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10.30 ±2.3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 (8.7:11.9)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10.18, 1.2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11.13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10.47, 1.4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varsaturi (Wilcoxon rank sum test with continuity correction: p=0.122)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13.12 ±3.0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13.4 (9.5:16.2)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12.85, 1.3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(92.3%)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10.92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10.28, 1.4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cheilartropatie diabetica (Wilcoxon rank sum test with continuity correction: p=0.922)</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11.30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9.0 (8.7:16.2)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10.83, 1.4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11.08 ±4.3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10.44, 1.4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dyslipidemias (Wilcoxon rank sum test with continuity correction: p=0.781)</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12.09 ±5.5</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9.3 (7.4:27.1)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11.19, 1.5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(73.1%)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10.73 ±3.6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10.20, 1.4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Dawn phenomenon (Wilcoxon rank sum test with continuity correction: p=0.795)</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10.51 ±2.8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(7.4:16.4)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10.19, 1.3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(57.7%)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11.52 ±5.0</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9.6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10.66, 1.5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hepatopathy (Wilcoxon rank sum test with continuity correction: p=0.634)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12.45 ±5.3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 (8.7:16.2)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11.87, 1.6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11.04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hipomagneziemie (Wilcoxon rank sum test with continuity correction: p=0.317)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 (8.2:8.2)</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8.20,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11.15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resistance (Wilcoxon rank sum test with continuity correction: p=0.686)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12.45 ±5.6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12.4 (8.5:16.4)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11.81, 1.6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11.04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10.41, 1.4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lipodystrophies (Wilcoxon rank sum test with continuity correction: p=0.646)</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10.97 ±3.3</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(5.5:18.9)</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10.52, 1.3</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(32.7%)</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11.35 ±5.8</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9.5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10.34, 1.5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lipoidic necrosis (Wilcoxon rank sum test with continuity correction: p=0.230)</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7.70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7.7 (7.7:7.7)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7.70,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11.16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10.52, 1.4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severe growth retardation (Wilcoxon rank sum test with continuity correction: p=0.549)</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 (8.7:8.7)</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8.70,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11.14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cholestasis (Wilcoxon rank sum test with continuity correction: p=0.424)</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 (8.5:8.5)</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8.50,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11.15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10.50, 1.4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eating disorders (Wilcoxon rank sum test with continuity correction: p=0.317)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14.40 ±NA</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 (14.4:14.4)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14.40, NA</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11.03 ±4.2</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(5.3:27.1)</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10.39, 1.4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5"/>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none (Wilcoxon rank sum test with continuity correction: p=0.737)</w:t>
            </w:r>
          </w:p>
        </w:tc>
      </w:tr>
      <w:tr>
        <w:tblPrEx>
          <w:tblLayout w:type="fixed"/>
          <w:tblCellMar>
            <w:top w:w="0" w:type="dxa"/>
            <w:left w:w="108" w:type="dxa"/>
            <w:bottom w:w="0" w:type="dxa"/>
            <w:right w:w="108" w:type="dxa"/>
          </w:tblCellMar>
        </w:tblPrEx>
        <w:trPr>
          <w:cantSplit/>
          <w:trHeight w:val="294" w:hRule="exact"/>
          <w:jc w:val="center"/>
        </w:trPr>
        <w:tc>
          <w:tcPr>
            <w:tcW w:w="4170"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33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4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10.90 ±5.6</w:t>
            </w:r>
          </w:p>
        </w:tc>
        <w:tc>
          <w:tcPr>
            <w:tcW w:w="1926"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9.5 (5.3:22.4)</w:t>
            </w:r>
          </w:p>
        </w:tc>
        <w:tc>
          <w:tcPr>
            <w:tcW w:w="195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9.88, 1.6</w:t>
            </w:r>
          </w:p>
        </w:tc>
      </w:tr>
      <w:tr>
        <w:tblPrEx>
          <w:tblLayout w:type="fixed"/>
          <w:tblCellMar>
            <w:top w:w="0" w:type="dxa"/>
            <w:left w:w="108" w:type="dxa"/>
            <w:bottom w:w="0" w:type="dxa"/>
            <w:right w:w="108" w:type="dxa"/>
          </w:tblCellMar>
        </w:tblPrEx>
        <w:trPr>
          <w:cantSplit/>
          <w:trHeight w:val="294" w:hRule="exact"/>
          <w:jc w:val="center"/>
        </w:trPr>
        <w:tc>
          <w:tcPr>
            <w:tcW w:w="4170"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33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45 (86.5%)</w:t>
            </w:r>
          </w:p>
        </w:tc>
        <w:tc>
          <w:tcPr>
            <w:tcW w:w="141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11.12 ±4.0</w:t>
            </w:r>
          </w:p>
        </w:tc>
        <w:tc>
          <w:tcPr>
            <w:tcW w:w="192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9.7 (5.5:27.1)</w:t>
            </w:r>
          </w:p>
        </w:tc>
        <w:tc>
          <w:tcPr>
            <w:tcW w:w="195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10.55, 1.4</w:t>
            </w:r>
          </w:p>
        </w:tc>
      </w:tr>
    </w:tbl>
    <w:p>
      <w:pPr>
        <w:bidi w:val="0"/>
      </w:pPr>
      <w:bookmarkStart w:id="12" w:name="log2-tnf-alpha"/>
    </w:p>
    <w:p>
      <w:pPr>
        <w:pStyle w:val="5"/>
      </w:pPr>
      <w:r>
        <w:t>log2: TNF alpha</w:t>
      </w:r>
      <w:bookmarkEnd w:id="12"/>
    </w:p>
    <w:p>
      <w:pPr>
        <w:pStyle w:val="3"/>
      </w:pPr>
    </w:p>
    <w:tbl>
      <w:tblPr>
        <w:tblStyle w:val="13"/>
        <w:tblW w:w="10800" w:type="dxa"/>
        <w:jc w:val="center"/>
        <w:tblInd w:w="0" w:type="dxa"/>
        <w:tblLayout w:type="fixed"/>
        <w:tblCellMar>
          <w:top w:w="0" w:type="dxa"/>
          <w:left w:w="108" w:type="dxa"/>
          <w:bottom w:w="0" w:type="dxa"/>
          <w:right w:w="108" w:type="dxa"/>
        </w:tblCellMar>
      </w:tblPr>
      <w:tblGrid>
        <w:gridCol w:w="5091"/>
        <w:gridCol w:w="1634"/>
        <w:gridCol w:w="1723"/>
        <w:gridCol w:w="2352"/>
      </w:tblGrid>
      <w:tr>
        <w:tblPrEx>
          <w:tblLayout w:type="fixed"/>
          <w:tblCellMar>
            <w:top w:w="0" w:type="dxa"/>
            <w:left w:w="108" w:type="dxa"/>
            <w:bottom w:w="0" w:type="dxa"/>
            <w:right w:w="108" w:type="dxa"/>
          </w:tblCellMar>
        </w:tblPrEx>
        <w:trPr>
          <w:cantSplit/>
          <w:trHeight w:val="294" w:hRule="exact"/>
          <w:tblHeader/>
          <w:jc w:val="center"/>
        </w:trPr>
        <w:tc>
          <w:tcPr>
            <w:tcW w:w="50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Subset</w:t>
            </w:r>
          </w:p>
        </w:tc>
        <w:tc>
          <w:tcPr>
            <w:tcW w:w="16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w:t>
            </w:r>
          </w:p>
        </w:tc>
        <w:tc>
          <w:tcPr>
            <w:tcW w:w="172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Media ±SD</w:t>
            </w:r>
          </w:p>
        </w:tc>
        <w:tc>
          <w:tcPr>
            <w:tcW w:w="235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Med (Min:Max)</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(pg/mL) (Shapiro-Wilk normality test: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(total)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118 (100.0%)</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(Wilcoxon rank sum test with continuity correction: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(44.1%)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 (55.9%)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2.87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(2.5:4.0)</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Sex (Wilcoxon rank sum test with continuity correction: p=0.365)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3.10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(2.6:4.8)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Place of living (Wilcoxon rank sum test with continuity correction: p=0.512)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(2.5:4.8)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Form of onset (Welch Two Sample t-test: p=0.448)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(3.2:4.1)</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Decompensation stage (ANOVA: p=0.248)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3.07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(2.4:3.6)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3.12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(2.9:3.2)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(2.7:4.5)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3.37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(2.9:4.1)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3.64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(3.1:4.8)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(3.2:3.6)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(2.5:4.0)</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injections/day (ANOVA: p=0.332)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(2.5:4.2)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3.16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(2.9:3.6)</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Autoimmune disease (Kruskal-Wallis rank sum test: p=0.002)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100 (85.5%)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(2.4:4.5)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BC</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(1.7%)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3.14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(3.1:3.2)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3.28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(2.9:3.7)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TAI+BC</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(4.3%)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3.84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(3.0:4.8)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Acute complications (ANOVA: p=0.423)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3.30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(3.2:3.5)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3.79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(3.2:4.5)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3.54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(3.3:3.8)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3.61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(3.1:4.2)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3.04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(3.0:3.0)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3.32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Neuropathy (ANOVA: p=0.743)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3.12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(3.1:3.1)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3.47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(2.9:4.2)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3.09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(3.0:3.2)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(3.7:3.7)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(2.5:4.0)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Nephropathy (ANOVA: p=0.264)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3.17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(3.0:3.3)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3.86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(3.7:4.0)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Retinopathy (ANOVA: p=0.751)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3.19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(3.2:3.2)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3.70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(3.7:3.7)</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Atopies (Wilcoxon rank sum test with continuity correction: p=0.213)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yes</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3.15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(2.5:4.8)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1 (Kruskal-Wallis rank sum test: p=0.343)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3.25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(2.6:4.5)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3.15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(2.6:3.9)</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 Q genotype 2 (Kruskal-Wallis rank sum test: p=0.674)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3.03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(2.5:4.5)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3.03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(2.6:3.9)</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GSTM genotype (Wilcoxon rank sum test with continuity correction: p=0.648)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3.29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(2.5:4.1)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3.26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GSTT genotype (Wilcoxon rank sum test with continuity correction: p=0.204)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(2.5:4.8)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TNF-alfa genotype (Kruskal-Wallis rank sum test: p=0.977)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3.26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(2.5:4.0)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3.26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(3.3:3.3)</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Adiponectin risk (Wilcoxon rank sum test with continuity correction: p=0.303)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3.15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(2.5:4.0)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TNF-alpha risk (Wilcoxon rank sum test with continuity correction: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high</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(3.0:4.8)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normal</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2.79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(2.4:3.0)</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Adiponectin (Kruskal-Wallis rank sum test: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medium-high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3.32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(2.9:3.8)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low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medium-high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2.99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(2.5:4.0)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low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2.85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(2.5:3.9)</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Group : TNF-alpha (Kruskal-Wallis rank sum test: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 (35.6%)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(3.0:4.8)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DM, normal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2.81 ±0.2</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(2.4:3.0)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high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(6.8%)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3.49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(3.0:4.0)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control, normal risk</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(49.2%)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2.78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(2.5:3.0)</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ameteala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(3.4:3.4)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cetoacidoza inaugurala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3.19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(3.2:3.2)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dureri abdominale (Welch Two Sample t-test: p=0.051)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3.75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(3.2:4.0)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(90.4%)</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fatigabilitate (Welch Two Sample t-test: p&lt;0.001)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2.90 ±0.0</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(2.9:2.9)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3.41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lipotimie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(3.4:3.4)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nicturie (Welch Two Sample t-test: p=0.594)</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3.26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(2.5:4.0)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obnubilare (Welch Two Sample t-test: p=0.286)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3.80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(3.6:4.0)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polidipsie (Welch Two Sample t-test: p=0.217)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3.28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(3.2:3.4)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polifagie (Welch Two Sample t-test: p=0.967)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(2.5:4.8)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 (82.7%)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poliurie (Welch Two Sample t-test: p=0.217)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3.28 ±0.1</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(3.2:3.4)</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scadere in greutate (Welch Two Sample t-test: p=0.171)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3.32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 (28.8%)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3.56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(2.5:4.8)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hiperglicemie (Welch Two Sample t-test: p=0.323)</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3.59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(3.3:3.8)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3.37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somnolenta (Welch Two Sample t-test: p=0.886)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3.35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(3.1:3.6)</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varsaturi (Welch Two Sample t-test: p=0.159)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3.68 ±0.3</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(3.2:4.0)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(92.3%)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3.36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cheilartropatie diabetica (Welch Two Sample t-test: p=0.875)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3.44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(3.1:4.0)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dyslipidemias (Welch Two Sample t-test: p=0.432)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3.48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(2.9:4.8)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(73.1%)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3.35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(2.4:4.5)</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Dawn phenomenon (Welch Two Sample t-test: p=0.609)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3.35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(2.9:4.0)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(57.7%)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3.41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hepatopathy (Welch Two Sample t-test: p=0.745)</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3.57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(3.1:4.0)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hipomagneziemie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3.04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(3.0:3.0)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resistance (Welch Two Sample t-test: p=0.767)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3.56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(3.1:4.0)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insulin lipodystrophies (Welch Two Sample t-test: p=0.877)</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±0.4</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(2.5:4.2)</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(32.7%)</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3.37 ±0.6</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lipoidic necrosis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2.94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(2.9:2.9)</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severe growth retardation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3.12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(3.1:3.1)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cholestasis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3.09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3.1 (3.1:3.1)</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3.39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eating disorders (T test ?: NA)</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3.85 ±NA</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(3.8:3.8)</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51 (98.1%)</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3.38 ±0.5</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(2.4:4.8)</w:t>
            </w:r>
          </w:p>
        </w:tc>
      </w:tr>
      <w:tr>
        <w:tblPrEx>
          <w:tblLayout w:type="fixed"/>
          <w:tblCellMar>
            <w:top w:w="0" w:type="dxa"/>
            <w:left w:w="108" w:type="dxa"/>
            <w:bottom w:w="0" w:type="dxa"/>
            <w:right w:w="108" w:type="dxa"/>
          </w:tblCellMar>
        </w:tblPrEx>
        <w:trPr>
          <w:cantSplit/>
          <w:trHeight w:val="294" w:hRule="exact"/>
          <w:jc w:val="center"/>
        </w:trPr>
        <w:tc>
          <w:tcPr>
            <w:tcW w:w="10800" w:type="dxa"/>
            <w:gridSpan w:val="4"/>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i/>
                <w:color w:val="111111"/>
                <w:sz w:val="20"/>
                <w:szCs w:val="20"/>
              </w:rPr>
              <w:t>none (Welch Two Sample t-test: p=0.730)</w:t>
            </w:r>
          </w:p>
        </w:tc>
      </w:tr>
      <w:tr>
        <w:tblPrEx>
          <w:tblLayout w:type="fixed"/>
          <w:tblCellMar>
            <w:top w:w="0" w:type="dxa"/>
            <w:left w:w="108" w:type="dxa"/>
            <w:bottom w:w="0" w:type="dxa"/>
            <w:right w:w="108" w:type="dxa"/>
          </w:tblCellMar>
        </w:tblPrEx>
        <w:trPr>
          <w:cantSplit/>
          <w:trHeight w:val="294" w:hRule="exact"/>
          <w:jc w:val="center"/>
        </w:trPr>
        <w:tc>
          <w:tcPr>
            <w:tcW w:w="5091"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t>
            </w:r>
          </w:p>
        </w:tc>
        <w:tc>
          <w:tcPr>
            <w:tcW w:w="1634"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3"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3.30 ±0.7</w:t>
            </w:r>
          </w:p>
        </w:tc>
        <w:tc>
          <w:tcPr>
            <w:tcW w:w="235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(2.4:4.5)</w:t>
            </w:r>
          </w:p>
        </w:tc>
      </w:tr>
      <w:tr>
        <w:tblPrEx>
          <w:tblLayout w:type="fixed"/>
          <w:tblCellMar>
            <w:top w:w="0" w:type="dxa"/>
            <w:left w:w="108" w:type="dxa"/>
            <w:bottom w:w="0" w:type="dxa"/>
            <w:right w:w="108" w:type="dxa"/>
          </w:tblCellMar>
        </w:tblPrEx>
        <w:trPr>
          <w:cantSplit/>
          <w:trHeight w:val="294" w:hRule="exact"/>
          <w:jc w:val="center"/>
        </w:trPr>
        <w:tc>
          <w:tcPr>
            <w:tcW w:w="50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nu</w:t>
            </w:r>
          </w:p>
        </w:tc>
        <w:tc>
          <w:tcPr>
            <w:tcW w:w="163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45 (86.5%)</w:t>
            </w:r>
          </w:p>
        </w:tc>
        <w:tc>
          <w:tcPr>
            <w:tcW w:w="172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3.40 ±0.5</w:t>
            </w:r>
          </w:p>
        </w:tc>
        <w:tc>
          <w:tcPr>
            <w:tcW w:w="235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(2.5:4.8)</w:t>
            </w:r>
          </w:p>
        </w:tc>
      </w:tr>
    </w:tbl>
    <w:p>
      <w:pPr>
        <w:pStyle w:val="5"/>
      </w:pPr>
      <w:bookmarkStart w:id="13" w:name="tnf-alpha-risk"/>
      <w:r>
        <w:t>TNF alpha risk</w:t>
      </w:r>
      <w:bookmarkEnd w:id="13"/>
    </w:p>
    <w:p>
      <w:pPr>
        <w:pStyle w:val="25"/>
      </w:pPr>
      <w:r>
        <w:t>Patients with high or medium risk based on TNF-alpha values had significantly higer Weight Z-scores, total cholesterol, HbA1C and lower Alpha-1 antitrypsin, Glycaemia values compared to low risk patients as well ashigher odds of Autoimmune disease.</w:t>
      </w:r>
    </w:p>
    <w:tbl>
      <w:tblPr>
        <w:tblStyle w:val="13"/>
        <w:tblW w:w="10800" w:type="dxa"/>
        <w:jc w:val="center"/>
        <w:tblInd w:w="0" w:type="dxa"/>
        <w:tblLayout w:type="fixed"/>
        <w:tblCellMar>
          <w:top w:w="0" w:type="dxa"/>
          <w:left w:w="108" w:type="dxa"/>
          <w:bottom w:w="0" w:type="dxa"/>
          <w:right w:w="108" w:type="dxa"/>
        </w:tblCellMar>
      </w:tblPr>
      <w:tblGrid>
        <w:gridCol w:w="2278"/>
        <w:gridCol w:w="2258"/>
        <w:gridCol w:w="1512"/>
        <w:gridCol w:w="1512"/>
        <w:gridCol w:w="1512"/>
        <w:gridCol w:w="1728"/>
      </w:tblGrid>
      <w:tr>
        <w:tblPrEx>
          <w:tblLayout w:type="fixed"/>
          <w:tblCellMar>
            <w:top w:w="0" w:type="dxa"/>
            <w:left w:w="108" w:type="dxa"/>
            <w:bottom w:w="0" w:type="dxa"/>
            <w:right w:w="108" w:type="dxa"/>
          </w:tblCellMar>
        </w:tblPrEx>
        <w:trPr>
          <w:cantSplit/>
          <w:trHeight w:val="288" w:hRule="exact"/>
          <w:tblHeader/>
          <w:jc w:val="center"/>
        </w:trPr>
        <w:tc>
          <w:tcPr>
            <w:tcW w:w="227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Variable</w:t>
            </w:r>
          </w:p>
        </w:tc>
        <w:tc>
          <w:tcPr>
            <w:tcW w:w="225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Details</w:t>
            </w:r>
          </w:p>
        </w:tc>
        <w:tc>
          <w:tcPr>
            <w:tcW w:w="15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high</w:t>
            </w:r>
          </w:p>
        </w:tc>
        <w:tc>
          <w:tcPr>
            <w:tcW w:w="15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normal</w:t>
            </w:r>
          </w:p>
        </w:tc>
        <w:tc>
          <w:tcPr>
            <w:tcW w:w="15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Total</w:t>
            </w:r>
          </w:p>
        </w:tc>
        <w:tc>
          <w:tcPr>
            <w:tcW w:w="172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pPr>
            <w:r>
              <w:rPr>
                <w:rFonts w:ascii="Times New Roman" w:hAnsi="Times New Roman" w:eastAsia="Times New Roman" w:cs="Times New Roman"/>
                <w:b/>
                <w:color w:val="111111"/>
                <w:sz w:val="20"/>
                <w:szCs w:val="20"/>
              </w:rPr>
              <w:t>Statistics</w:t>
            </w:r>
          </w:p>
        </w:tc>
      </w:tr>
      <w:tr>
        <w:tblPrEx>
          <w:tblLayout w:type="fixed"/>
          <w:tblCellMar>
            <w:top w:w="0" w:type="dxa"/>
            <w:left w:w="108" w:type="dxa"/>
            <w:bottom w:w="0" w:type="dxa"/>
            <w:right w:w="108" w:type="dxa"/>
          </w:tblCellMar>
        </w:tblPrEx>
        <w:trPr>
          <w:cantSplit/>
          <w:trHeight w:val="288" w:hRule="exact"/>
          <w:jc w:val="center"/>
        </w:trPr>
        <w:tc>
          <w:tcPr>
            <w:tcW w:w="227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TNF-alpha risk</w:t>
            </w:r>
          </w:p>
        </w:tc>
        <w:tc>
          <w:tcPr>
            <w:tcW w:w="225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151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50 (42.4%)</w:t>
            </w:r>
          </w:p>
        </w:tc>
        <w:tc>
          <w:tcPr>
            <w:tcW w:w="151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68 (57.6%)</w:t>
            </w:r>
          </w:p>
        </w:tc>
        <w:tc>
          <w:tcPr>
            <w:tcW w:w="151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118</w:t>
            </w:r>
          </w:p>
        </w:tc>
        <w:tc>
          <w:tcPr>
            <w:tcW w:w="172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Sex</w:t>
            </w:r>
          </w:p>
        </w:tc>
        <w:tc>
          <w:tcPr>
            <w:tcW w:w="225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w:t>
            </w:r>
          </w:p>
        </w:tc>
        <w:tc>
          <w:tcPr>
            <w:tcW w:w="151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(58.0%)</w:t>
            </w:r>
          </w:p>
        </w:tc>
        <w:tc>
          <w:tcPr>
            <w:tcW w:w="151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(48.5%)</w:t>
            </w:r>
          </w:p>
        </w:tc>
        <w:tc>
          <w:tcPr>
            <w:tcW w:w="151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62 (52.5%)</w:t>
            </w:r>
          </w:p>
        </w:tc>
        <w:tc>
          <w:tcPr>
            <w:tcW w:w="1728"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OR=1.46 [0.70, 3.06] (p=0.354)</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(42.0%)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(51.5%)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56 (47.5%)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Place of living</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rural</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(42.0%)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(42.6%)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(42.4%)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OR=0.97 [0.47, 2.04] (p&gt;0.999)</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urban</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(58.0%)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(57.4%)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 (57.6%)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Age at inclusion (years)</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 (1:18)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 (1:18)</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p=0.069</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10.68 ±4.44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12.04 ±4.77</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11.47 ±4.66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Weight (kg)</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38 (11:76)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(6.5:84)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42.5 (6.5:84)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p=0.327</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40.04 ±17.6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43.92 ±20.4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42.28 ±19.3</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Weight - Z score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1.02 (-1.46:3.04)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-0.41 (-3.52:1.1)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-0.1 (-3.52:3.04)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T-test: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0.736 ±1.27</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-0.472 ±0.934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0.158 ±1.27</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Height (cm)</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144.98 (84.04:178.03)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155.22 (72.11:190.42)</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151.85 (72.11:190.42)</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p=0.139</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142.55 ±24.3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148.99 ±25.4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146.27 ±25.0</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Height - Z score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0.42 (-3.4:3.49)</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0.48 (-1.98:3.81)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0.45 (-3.4:3.81)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p=0.983</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0.419 ±1.25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0.414 ±1.28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0.417 ±1.26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BMI (kg/m²)</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18.05 (12.78:26.76)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18.4 (10.7:30.9)</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18.21 (10.7:30.9)</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T-test: p=0.727</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18.58 ±3.35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18.33 ±4.36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18.43 ±3.95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BMI - Z score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0.26 (-2.28:4.54)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-0.26 (-4.85:2.57)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-0.02 (-4.85:4.54)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p=0.013</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0.296 ±1.23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-0.435 ±1.56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-0.125 ±1.47</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Adiponectin (μg/mL)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(6.82:26.61)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(7.31:22.06)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13.8 (6.82:26.61)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p=0.740</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14.35 ±4.87</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13.58 ±3.22</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13.91 ±4.0</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TNF-alpha (pg/mL)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10.6 (8.1:27.1)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6.95 (5.3:8)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7.8 (5.3:27.1)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11.97 ±3.9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6.93 ±0.721</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9.07 ±3.59</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Alpha-1 antitrypsin (mg/dL)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135 (104:240)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154 (98:198)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142.5 (98:240)</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136.32 ±23.4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153.85 ±25.8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146.42 ±26.2</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Total cholesterol (mg/dL)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164 (111:272)</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156.5 (99:353)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159 (99:353)</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p=0.034</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171.64 ±35.0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160.71 ±34.3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165.34 ±34.8</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Triglycerides (mg/dL)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69.5 (24:318)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68.5 (29:187)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69 (24:318)</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p=0.645</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86.32 ±52.9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75.91 ±32.8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80.32 ±42.6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HDL cholesterol (mg/dL)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54 (31:84)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 (31:84)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53 (31:84)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p=0.248</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54.76 ±9.9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52.96 ±10.5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53.72 ±10.3</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Adiponectin risk</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medium-high</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(20.0%)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(14.7%)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OR=1.45 [0.55, 3.80] (p=0.467)</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low</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(80.0%)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58 (85.3%)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98 (83.1%)</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 : Adiponectin</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medium-high risk</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(16.0%)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(2.9%)</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V=0.69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low risk</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34 (68.0%)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(11.8%)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(35.6%)</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medium-high risk</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(4.0%)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(11.8%)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low risk</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 (12.0%)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50 (73.5%)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56 (47.5%)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 : TNF-alpha</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high risk</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(84.0%)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(35.6%)</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V</w:t>
            </w:r>
            <w:r>
              <w:rPr>
                <w:rFonts w:eastAsia="Times New Roman" w:cs="Times New Roman"/>
                <w:b/>
                <w:color w:val="111111"/>
                <w:sz w:val="20"/>
                <w:szCs w:val="20"/>
                <w:lang w:val="en"/>
              </w:rPr>
              <w:t>&gt;</w:t>
            </w:r>
            <w:r>
              <w:rPr>
                <w:rFonts w:ascii="Times New Roman" w:hAnsi="Times New Roman" w:eastAsia="Times New Roman" w:cs="Times New Roman"/>
                <w:b/>
                <w:color w:val="111111"/>
                <w:sz w:val="20"/>
                <w:szCs w:val="20"/>
              </w:rPr>
              <w:t>0.99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 normal risk</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(14.7%)</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high risk</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(16.0%)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(6.8%)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 normal risk</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58 (85.3%)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58 (49.2%)</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Group</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DM</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42 (84.0%)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(14.7%)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52 (44.1%)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OR=30.45 [11.08, 83.68]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control</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 (16.0%)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58 (85.3%)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 (55.9%)</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Age at onset (years)</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(1:16)</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p=0.055</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6.07 ±3.28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9.20 ±4.98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6.67 ±3.82</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Form of onset</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insidious</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(85.7%)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OR=0.27 [0.01, 5.15] (p=0.582)</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sudden</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(14.3%)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Decompensation stage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(50.0%)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V=0.48 (p=0.068)</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compensat, instabil</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(31.0%)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 instabil</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(19.0%)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(15.4%)</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decompensat III</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instabil</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Glycaemia (mg/dL)</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79 (72:85)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85 (53:116)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84 (53:116)</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p=0.020</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79.00 ±3.96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84.66 ±9.42</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83.97 ±9.11</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HbA1C (%)</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8.55 (4.1:15.4)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4.95 (4:10.6)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5.5 (4:15.4)</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8.54 ±2.39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5.31 ±1.3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6.68 ±2.43</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necessity</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(0.36:1.51)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 (0.7:1.37)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(0.36:1.51)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 p=0.583</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0.963 ±0.266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0.952 ±0.245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0.961 ±0.26</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injections/day</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(50.0%)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(40.0%)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25 (48.1%)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V=0.23 (p=0.265)</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19 (45.2%)</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(40.0%)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(44.2%)</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pump</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SBP (mmHg)</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100 (80:120)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105 (80:130)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100 (80:130)</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p=0.013</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99.30 ±11.5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105.22 ±12.1</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102.71 ±12.2</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DBP (mmHg)</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55 (35:80)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60 (35:80)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60 (35:80)</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MW: p=0.002</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53.80 ±10.8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59.49 ±8.9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57.08 ±10.1</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Autoimmune disease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no</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34 (69.4%)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66 (97.1%)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100 (85.5%)</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V=0.39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positive ANA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BC</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(4.1%)</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(1.7%)</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TAI</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 (18.4%)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 (1.5%)</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10 (8.5%)</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TAI+BC</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4 (8.2%)</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 (1.5%)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5 (4.3%)</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Age at onset of autoimmune disease (years)</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M (min:max)</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 (2:16)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 (15:15)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 (2:16)</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Welch: p&lt;0.001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μ ±SD</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8.31 ±3.52</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15.00 ±0.0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9.06 ±3.95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Acute complications</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diabetica</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V=0.33 (p=0.358)</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diurne</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frecvente</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recurente</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(16.7%)</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hipoglicemii severe</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 (61.9%)</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(69.2%)</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Neuropathy</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diabetica senzitiva</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V=0.16 (p=0.937)</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senitiva subclinica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agravata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neuropatie senzitiva subclinica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(21.4%)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(21.2%)</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27 (64.3%)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(60.0%)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33 (63.5%)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Nephropathy</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microalbuminurie tranzitorie</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V=0.18 (p=0.446)</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nefropatie diabetica incipienta</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(85.7%)</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46 (88.5%)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Retinopathy</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minime modificari retiniene</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V=0.10 (p=0.781)</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40 (95.2%)</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50 (96.2%)</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retinopatia diabetica neproliferativa usoara</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Atopies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(18.0%)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(16.2%)</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(16.9%)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OR=1.14 [0.43, 2.99] (p=0.809)</w:t>
            </w: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 Q genotype 1</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GG</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(16.3%)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(18.2%)</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(16.9%)</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V=0.15 (p=0.466)</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GT</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26 (60.5%)</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(45.5%)</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36 (55.4%)</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TT</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(23.3%)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(36.4%)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18 (27.7%)</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Adipo Q genotype 2</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mutant</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(39.4%)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34 (53.1%)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47 (48.5%)</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V=0.17 (p=0.264)</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heterozygote</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(51.5%)</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(34.4%)</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(40.2%)</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wild-type</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(9.1%)</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(12.5%)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11 (11.3%)</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GSTM genotype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20 (46.5%)</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(36.4%)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28 (43.1%)</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OR=1.52 [0.53, 4.37] (p=0.597)</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M+</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23 (53.5%)</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(63.6%)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(56.9%)</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GSTT genotype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13 (30.2%)</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(36.4%)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21 (32.3%)</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[0.26, 2.25] (p=0.780)</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(69.8%)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(63.6%)</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44 (67.7%)</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TNF-alfa genotype</w:t>
            </w:r>
          </w:p>
        </w:tc>
        <w:tc>
          <w:tcPr>
            <w:tcW w:w="225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A1A1</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32 (74.4%)</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(72.7%)</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48 (73.8%)</w:t>
            </w:r>
          </w:p>
        </w:tc>
        <w:tc>
          <w:tcPr>
            <w:tcW w:w="172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V=0.10 (p=0.736)</w:t>
            </w: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c>
          <w:tcPr>
            <w:tcW w:w="2258"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A1A2</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(23.3%)</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(27.3%)</w:t>
            </w:r>
          </w:p>
        </w:tc>
        <w:tc>
          <w:tcPr>
            <w:tcW w:w="1512" w:type="dxa"/>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16 (24.6%)</w:t>
            </w:r>
          </w:p>
        </w:tc>
        <w:tc>
          <w:tcPr>
            <w:tcW w:w="1728" w:type="dxa"/>
            <w:vMerge w:val="continue"/>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227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c>
          <w:tcPr>
            <w:tcW w:w="225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A2A2</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(1.5%)</w:t>
            </w:r>
          </w:p>
        </w:tc>
        <w:tc>
          <w:tcPr>
            <w:tcW w:w="172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ameteala</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cetoacidoza inaugurala</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dureri abdominale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(9.6%)</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OR=3.08 [0.16, 60.33] (p=0.569)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fatigabilitate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(20.0%)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2 (3.8%)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b/>
                <w:color w:val="111111"/>
                <w:sz w:val="20"/>
                <w:szCs w:val="20"/>
              </w:rPr>
              <w:t>OR=0.04 [0.00, 0.91] (p=0.034)</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lipotimie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nicturie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6 (11.5%)</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OR=0.42 [0.07, 2.71] (p=0.324)</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obnubilare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OR=1.30 [0.06, 29.10]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polidipsie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(92.9%)</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OR=0.54 [0.03, 11.24]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polifagie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(16.7%)</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9 (17.3%)</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OR=0.80 [0.14, 4.60]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poliurie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39 (92.9%)</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10 (100%)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49 (94.2%)</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OR=0.54 [0.03, 11.24]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scadere in greutate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29 (69.0%)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8 (80.0%)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37 (71.2%)</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OR=0.56 [0.10, 3.00] (p=0.704)</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hiperglicemie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OR=1.86 [0.09, 38.91]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somnolenta</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OR=1.30 [0.06, 29.10]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varsaturi</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(9.5%)</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4 (7.7%)</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OR=2.45 [0.12, 49.32] (p=0.576)</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cheilartropatie diabetica</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(7.1%)</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 (5.8%)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OR=1.86 [0.09, 38.91]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dyslipidemias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12 (28.6%)</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14 (26.9%)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OR=1.60 [0.30, 8.65] (p=0.710)</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Dawn phenomenon</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17 (40.5%)</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(50.0%)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22 (42.3%)</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OR=0.68 [0.17, 2.71] (p=0.725)</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hepatopathy</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OR=1.30 [0.06, 29.10]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hipomagneziemie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resistance</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(4.8%)</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(3.8%)</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OR=1.30 [0.06, 29.10]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insulin lipodystrophies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30 (71.4%)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(50.0%)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35 (67.3%)</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OR=2.50 [0.61, 10.23] (p=0.264)</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lipoidic necrosis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(10.0%)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OR=0.07 [0.00, 1.97] (p=0.192)</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severe growth retardation</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cholestasis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eating disorders</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(2.4%)</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0</w:t>
            </w:r>
          </w:p>
        </w:tc>
        <w:tc>
          <w:tcPr>
            <w:tcW w:w="1512"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1 (1.9%)</w:t>
            </w:r>
          </w:p>
        </w:tc>
        <w:tc>
          <w:tcPr>
            <w:tcW w:w="1728"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OR=0.76 [0.03, 20.00] (p&gt;0.999)</w:t>
            </w:r>
          </w:p>
        </w:tc>
      </w:tr>
      <w:tr>
        <w:tblPrEx>
          <w:tblLayout w:type="fixed"/>
          <w:tblCellMar>
            <w:top w:w="0" w:type="dxa"/>
            <w:left w:w="108" w:type="dxa"/>
            <w:bottom w:w="0" w:type="dxa"/>
            <w:right w:w="108" w:type="dxa"/>
          </w:tblCellMar>
        </w:tblPrEx>
        <w:trPr>
          <w:cantSplit/>
          <w:trHeight w:val="288" w:hRule="exact"/>
          <w:jc w:val="center"/>
        </w:trPr>
        <w:tc>
          <w:tcPr>
            <w:tcW w:w="4536"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none</w:t>
            </w:r>
          </w:p>
        </w:tc>
        <w:tc>
          <w:tcPr>
            <w:tcW w:w="1512"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5 (11.9%)</w:t>
            </w:r>
          </w:p>
        </w:tc>
        <w:tc>
          <w:tcPr>
            <w:tcW w:w="1512"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2 (20.0%)</w:t>
            </w:r>
          </w:p>
        </w:tc>
        <w:tc>
          <w:tcPr>
            <w:tcW w:w="1512"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7 (13.5%)</w:t>
            </w:r>
          </w:p>
        </w:tc>
        <w:tc>
          <w:tcPr>
            <w:tcW w:w="1728"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color w:val="111111"/>
                <w:sz w:val="20"/>
                <w:szCs w:val="20"/>
              </w:rPr>
              <w:t>OR=0.54 [0.09, 3.30] (p=0.608)</w:t>
            </w:r>
          </w:p>
        </w:tc>
      </w:tr>
      <w:tr>
        <w:tblPrEx>
          <w:tblLayout w:type="fixed"/>
          <w:tblCellMar>
            <w:top w:w="0" w:type="dxa"/>
            <w:left w:w="108" w:type="dxa"/>
            <w:bottom w:w="0" w:type="dxa"/>
            <w:right w:w="108" w:type="dxa"/>
          </w:tblCellMar>
        </w:tblPrEx>
        <w:trPr>
          <w:cantSplit/>
          <w:trHeight w:val="288" w:hRule="exac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pPr>
            <w:r>
              <w:rPr>
                <w:rFonts w:ascii="Times New Roman" w:hAnsi="Times New Roman" w:eastAsia="Times New Roman" w:cs="Times New Roman"/>
                <w:i/>
                <w:color w:val="000000"/>
                <w:sz w:val="20"/>
                <w:szCs w:val="20"/>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4"/>
        <w:bidi w:val="0"/>
        <w:rPr>
          <w:rFonts w:hint="default"/>
          <w:lang w:val="en"/>
        </w:rPr>
      </w:pPr>
      <w:r>
        <w:rPr>
          <w:rFonts w:hint="default"/>
          <w:lang w:val="en"/>
        </w:rPr>
        <w:t>Multicariate: Age - original values</w:t>
      </w:r>
    </w:p>
    <w:p>
      <w:pPr>
        <w:pStyle w:val="3"/>
      </w:pPr>
    </w:p>
    <w:p>
      <w:pPr>
        <w:pStyle w:val="25"/>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334000" cy="2507615"/>
            <wp:effectExtent l="0" t="0" r="0" b="698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a:xfrm>
                      <a:off x="0" y="0"/>
                      <a:ext cx="5334000" cy="2507776"/>
                    </a:xfrm>
                    <a:prstGeom prst="rect">
                      <a:avLst/>
                    </a:prstGeom>
                    <a:noFill/>
                    <a:ln w="9525">
                      <a:noFill/>
                    </a:ln>
                  </pic:spPr>
                </pic:pic>
              </a:graphicData>
            </a:graphic>
          </wp:inline>
        </w:drawing>
      </w:r>
    </w:p>
    <w:p>
      <w:pPr>
        <w:pStyle w:val="3"/>
        <w:ind w:left="720" w:leftChars="0" w:firstLine="720" w:firstLineChars="0"/>
      </w:pPr>
    </w:p>
    <w:p>
      <w:pPr>
        <w:pStyle w:val="25"/>
        <w:rPr>
          <w:rFonts w:hint="default" w:ascii="Times New Roman" w:hAnsi="Times New Roman" w:cs="Times New Roman"/>
          <w:sz w:val="22"/>
          <w:szCs w:val="22"/>
        </w:rPr>
      </w:pPr>
      <w:r>
        <w:rPr>
          <w:rFonts w:hint="default" w:ascii="Times New Roman" w:hAnsi="Times New Roman" w:cs="Times New Roman"/>
          <w:sz w:val="22"/>
          <w:szCs w:val="22"/>
        </w:rPr>
        <w:t>Odds of DM significantly increased with every doubling of TNF-alpha vales, unadjusted (OR=42.40 ***, 11.04 – 221.00) as well as adjusted for BMI Z scores (OR=36.36 ***, 9.52 – 187.95), Age &amp; Sex (OR=116.34 ***, 23.17 – 862.45) and BMI, Age and Sex (OR = 109.62 ***, 21.09 – 848.16).</w:t>
      </w:r>
    </w:p>
    <w:p>
      <w:pPr>
        <w:pStyle w:val="3"/>
        <w:rPr>
          <w:rFonts w:hint="default" w:ascii="Times New Roman" w:hAnsi="Times New Roman" w:cs="Times New Roman"/>
          <w:sz w:val="22"/>
          <w:szCs w:val="22"/>
        </w:rPr>
      </w:pPr>
      <w:r>
        <w:rPr>
          <w:rFonts w:hint="default" w:ascii="Times New Roman" w:hAnsi="Times New Roman" w:cs="Times New Roman"/>
          <w:sz w:val="22"/>
          <w:szCs w:val="22"/>
        </w:rPr>
        <w:t>Odds of DM did not increase with every doubling of Adiponectin vales, unadjusted (OR=0.99, 0.42 – 2.36) or adjusted for BMI Z scores (OR=1.07, 0.44 – 2.62), Age &amp; Sex (OR=1.15, 0.47 – 2.88) or BMI, Age and Sex (OR = 1.21, 0.48 – 3.09).</w:t>
      </w:r>
    </w:p>
    <w:p>
      <w:pPr>
        <w:pStyle w:val="3"/>
        <w:rPr>
          <w:rFonts w:hint="default" w:ascii="Times New Roman" w:hAnsi="Times New Roman" w:cs="Times New Roman"/>
          <w:sz w:val="22"/>
          <w:szCs w:val="22"/>
        </w:rPr>
      </w:pPr>
    </w:p>
    <w:p>
      <w:pPr>
        <w:pStyle w:val="3"/>
      </w:pPr>
    </w:p>
    <w:p>
      <w:pPr>
        <w:pStyle w:val="2"/>
      </w:pPr>
      <w:bookmarkStart w:id="14" w:name="references"/>
      <w:r>
        <w:t>References</w:t>
      </w:r>
      <w:bookmarkEnd w:id="14"/>
    </w:p>
    <w:p>
      <w:pPr>
        <w:numPr>
          <w:ilvl w:val="0"/>
          <w:numId w:val="2"/>
        </w:numPr>
      </w:pPr>
      <w:r>
        <w:t xml:space="preserve">R Core Team (2019). R: A language and environment for statistical computing. R Foundation for Statistical Computing, Vienna, Austria. URL </w:t>
      </w:r>
      <w:r>
        <w:fldChar w:fldCharType="begin"/>
      </w:r>
      <w:r>
        <w:instrText xml:space="preserve"> HYPERLINK "https://www.R-project.org/" \h </w:instrText>
      </w:r>
      <w:r>
        <w:fldChar w:fldCharType="separate"/>
      </w:r>
      <w:r>
        <w:rPr>
          <w:rStyle w:val="21"/>
        </w:rPr>
        <w:t>https://www.R-project.org/</w:t>
      </w:r>
      <w:r>
        <w:rPr>
          <w:rStyle w:val="21"/>
        </w:rPr>
        <w:fldChar w:fldCharType="end"/>
      </w:r>
      <w:r>
        <w:t>.</w:t>
      </w:r>
    </w:p>
    <w:sectPr>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Consolas">
    <w:panose1 w:val="020B0609020204030204"/>
    <w:charset w:val="00"/>
    <w:family w:val="auto"/>
    <w:pitch w:val="default"/>
    <w:sig w:usb0="E00006FF" w:usb1="0000FCFF" w:usb2="00000001" w:usb3="00000000" w:csb0="6000019F" w:csb1="DFD70000"/>
  </w:font>
  <w:font w:name="3270Medium Nerd Font">
    <w:panose1 w:val="02000609000000000000"/>
    <w:charset w:val="00"/>
    <w:family w:val="auto"/>
    <w:pitch w:val="default"/>
    <w:sig w:usb0="A00002AF" w:usb1="5200F9FB" w:usb2="02004030" w:usb3="00000000" w:csb0="6000009F" w:csb1="DFD70000"/>
  </w:font>
  <w:font w:name="Adobe Fan Heiti Std">
    <w:panose1 w:val="020B0700000000000000"/>
    <w:charset w:val="88"/>
    <w:family w:val="auto"/>
    <w:pitch w:val="default"/>
    <w:sig w:usb0="00000001" w:usb1="1A0F1900" w:usb2="00000016" w:usb3="00000000" w:csb0="00120005"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obe Fangsong Std">
    <w:panose1 w:val="02020400000000000000"/>
    <w:charset w:val="86"/>
    <w:family w:val="auto"/>
    <w:pitch w:val="default"/>
    <w:sig w:usb0="00000001" w:usb1="0A0F1810" w:usb2="00000016" w:usb3="00000000" w:csb0="00060007" w:csb1="00000000"/>
  </w:font>
  <w:font w:name="Lucida Sans">
    <w:panose1 w:val="020B0602030504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7FB7BA5"/>
    <w:rsid w:val="2B73C33B"/>
    <w:rsid w:val="46331344"/>
    <w:rsid w:val="6FFF6828"/>
    <w:rsid w:val="73FF54AB"/>
    <w:rsid w:val="7EEC70DB"/>
    <w:rsid w:val="7F9B3787"/>
    <w:rsid w:val="B0FFBBC8"/>
    <w:rsid w:val="BF3EEA75"/>
    <w:rsid w:val="DAFE5D72"/>
    <w:rsid w:val="EBB7EEB9"/>
    <w:rsid w:val="EF515870"/>
    <w:rsid w:val="EFEB41DC"/>
    <w:rsid w:val="EFFF8FBA"/>
    <w:rsid w:val="F9CFE525"/>
    <w:rsid w:val="FAE749CE"/>
    <w:rsid w:val="FC7675EC"/>
    <w:rsid w:val="FD3F172C"/>
    <w:rsid w:val="FDAAF2C5"/>
    <w:rsid w:val="FDDE7D50"/>
    <w:rsid w:val="FEFEC65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jc w:val="both"/>
    </w:pPr>
    <w:rPr>
      <w:rFonts w:ascii="Times New Roman" w:hAnsi="Times New Roman" w:eastAsiaTheme="minorEastAsia" w:cstheme="minorBidi"/>
      <w:sz w:val="20"/>
      <w:szCs w:val="24"/>
      <w:lang w:val="en-US" w:eastAsia="en-US" w:bidi="ar-SA"/>
    </w:rPr>
  </w:style>
  <w:style w:type="paragraph" w:styleId="2">
    <w:name w:val="heading 1"/>
    <w:basedOn w:val="1"/>
    <w:next w:val="3"/>
    <w:qFormat/>
    <w:uiPriority w:val="9"/>
    <w:pPr>
      <w:keepNext/>
      <w:keepLines/>
      <w:spacing w:before="480" w:after="0" w:line="360" w:lineRule="auto"/>
      <w:jc w:val="left"/>
      <w:outlineLvl w:val="0"/>
    </w:pPr>
    <w:rPr>
      <w:rFonts w:eastAsiaTheme="majorEastAsia" w:cstheme="majorBidi"/>
      <w:b/>
      <w:bCs/>
      <w:color w:val="335B8A" w:themeColor="accent1" w:themeShade="B5"/>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4F81BD" w:themeColor="accent1"/>
      <w:szCs w:val="32"/>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4F81BD" w:themeColor="accent1"/>
      <w:sz w:val="20"/>
      <w:szCs w:val="28"/>
    </w:rPr>
  </w:style>
  <w:style w:type="paragraph" w:styleId="6">
    <w:name w:val="heading 4"/>
    <w:basedOn w:val="1"/>
    <w:next w:val="3"/>
    <w:unhideWhenUsed/>
    <w:qFormat/>
    <w:uiPriority w:val="9"/>
    <w:pPr>
      <w:keepNext/>
      <w:keepLines/>
      <w:spacing w:before="200" w:after="0"/>
      <w:outlineLvl w:val="3"/>
    </w:pPr>
    <w:rPr>
      <w:rFonts w:ascii="Times New Roman" w:hAnsi="Times New Roman" w:eastAsiaTheme="majorEastAsia" w:cstheme="majorBidi"/>
      <w:b/>
      <w:bCs/>
      <w:color w:val="4F81BD" w:themeColor="accent1"/>
      <w:sz w:val="20"/>
    </w:rPr>
  </w:style>
  <w:style w:type="paragraph" w:styleId="7">
    <w:name w:val="heading 5"/>
    <w:basedOn w:val="1"/>
    <w:next w:val="3"/>
    <w:unhideWhenUsed/>
    <w:qFormat/>
    <w:uiPriority w:val="9"/>
    <w:pPr>
      <w:keepNext/>
      <w:keepLines/>
      <w:spacing w:before="200" w:after="0"/>
      <w:outlineLvl w:val="4"/>
    </w:pPr>
    <w:rPr>
      <w:rFonts w:ascii="Times New Roman" w:hAnsi="Times New Roman" w:eastAsiaTheme="majorEastAsia" w:cstheme="majorBidi"/>
      <w:i/>
      <w:iCs/>
      <w:color w:val="4F81BD" w:themeColor="accent1"/>
      <w:sz w:val="20"/>
    </w:rPr>
  </w:style>
  <w:style w:type="paragraph" w:styleId="8">
    <w:name w:val="heading 6"/>
    <w:basedOn w:val="1"/>
    <w:next w:val="3"/>
    <w:unhideWhenUsed/>
    <w:qFormat/>
    <w:uiPriority w:val="9"/>
    <w:pPr>
      <w:keepNext/>
      <w:keepLines/>
      <w:spacing w:before="200" w:after="0"/>
      <w:outlineLvl w:val="5"/>
    </w:pPr>
    <w:rPr>
      <w:rFonts w:eastAsiaTheme="majorEastAsia" w:cstheme="majorBidi"/>
      <w:color w:val="4F81BD" w:themeColor="accent1"/>
      <w:sz w:val="20"/>
    </w:rPr>
  </w:style>
  <w:style w:type="paragraph" w:styleId="9">
    <w:name w:val="heading 7"/>
    <w:basedOn w:val="1"/>
    <w:next w:val="3"/>
    <w:unhideWhenUsed/>
    <w:qFormat/>
    <w:uiPriority w:val="9"/>
    <w:pPr>
      <w:keepNext/>
      <w:keepLines/>
      <w:spacing w:before="200" w:after="0"/>
      <w:outlineLvl w:val="6"/>
    </w:pPr>
    <w:rPr>
      <w:rFonts w:ascii="Times New Roman" w:hAnsi="Times New Roman" w:eastAsiaTheme="majorEastAsia" w:cstheme="majorBidi"/>
      <w:color w:val="4F81BD" w:themeColor="accent1"/>
      <w:sz w:val="20"/>
    </w:rPr>
  </w:style>
  <w:style w:type="paragraph" w:styleId="10">
    <w:name w:val="heading 8"/>
    <w:basedOn w:val="1"/>
    <w:next w:val="3"/>
    <w:unhideWhenUsed/>
    <w:qFormat/>
    <w:uiPriority w:val="9"/>
    <w:pPr>
      <w:keepNext/>
      <w:keepLines/>
      <w:spacing w:before="200" w:after="0"/>
      <w:outlineLvl w:val="7"/>
    </w:pPr>
    <w:rPr>
      <w:rFonts w:ascii="Times New Roman" w:hAnsi="Times New Roman" w:eastAsiaTheme="majorEastAsia" w:cstheme="majorBidi"/>
      <w:color w:val="4F81BD" w:themeColor="accent1"/>
      <w:sz w:val="20"/>
    </w:rPr>
  </w:style>
  <w:style w:type="paragraph" w:styleId="11">
    <w:name w:val="heading 9"/>
    <w:basedOn w:val="1"/>
    <w:next w:val="3"/>
    <w:unhideWhenUsed/>
    <w:qFormat/>
    <w:uiPriority w:val="9"/>
    <w:pPr>
      <w:keepNext/>
      <w:keepLines/>
      <w:spacing w:before="200" w:after="0"/>
      <w:outlineLvl w:val="8"/>
    </w:pPr>
    <w:rPr>
      <w:rFonts w:ascii="Times New Roman" w:hAnsi="Times New Roman" w:eastAsiaTheme="majorEastAsia" w:cstheme="majorBidi"/>
      <w:color w:val="4F81BD" w:themeColor="accent1"/>
      <w:sz w:val="20"/>
    </w:rPr>
  </w:style>
  <w:style w:type="character" w:default="1" w:styleId="12">
    <w:name w:val="Default Paragraph Font"/>
    <w:semiHidden/>
    <w:unhideWhenUsed/>
    <w:qFormat/>
    <w:uiPriority w:val="0"/>
  </w:style>
  <w:style w:type="table" w:default="1" w:styleId="13">
    <w:name w:val="Normal Table"/>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paragraph" w:styleId="20">
    <w:name w:val="header"/>
    <w:basedOn w:val="1"/>
    <w:qFormat/>
    <w:uiPriority w:val="0"/>
    <w:pPr>
      <w:tabs>
        <w:tab w:val="center" w:pos="4153"/>
        <w:tab w:val="right" w:pos="8306"/>
      </w:tabs>
      <w:snapToGrid w:val="0"/>
    </w:pPr>
    <w:rPr>
      <w:sz w:val="20"/>
      <w:szCs w:val="18"/>
    </w:rPr>
  </w:style>
  <w:style w:type="character" w:styleId="21">
    <w:name w:val="Hyperlink"/>
    <w:basedOn w:val="18"/>
    <w:qFormat/>
    <w:uiPriority w:val="0"/>
    <w:rPr>
      <w:color w:val="4F81BD" w:themeColor="accent1"/>
    </w:rPr>
  </w:style>
  <w:style w:type="paragraph" w:styleId="22">
    <w:name w:val="Subtitle"/>
    <w:basedOn w:val="23"/>
    <w:next w:val="3"/>
    <w:qFormat/>
    <w:uiPriority w:val="0"/>
    <w:pPr>
      <w:keepNext/>
      <w:keepLines/>
      <w:spacing w:before="240" w:after="240"/>
      <w:jc w:val="center"/>
    </w:pPr>
    <w:rPr>
      <w:rFonts w:ascii="Times New Roman" w:hAnsi="Times New Roman"/>
      <w:sz w:val="20"/>
      <w:szCs w:val="30"/>
    </w:rPr>
  </w:style>
  <w:style w:type="paragraph" w:styleId="23">
    <w:name w:val="Title"/>
    <w:basedOn w:val="1"/>
    <w:next w:val="3"/>
    <w:qFormat/>
    <w:uiPriority w:val="0"/>
    <w:pPr>
      <w:keepNext/>
      <w:keepLines/>
      <w:spacing w:before="480" w:after="240"/>
      <w:jc w:val="left"/>
    </w:pPr>
    <w:rPr>
      <w:rFonts w:ascii="Times New Roman" w:hAnsi="Times New Roman" w:eastAsiaTheme="majorEastAsia" w:cstheme="majorBidi"/>
      <w:b/>
      <w:bCs/>
      <w:color w:val="335B8A" w:themeColor="accent1" w:themeShade="B5"/>
      <w:sz w:val="20"/>
      <w:szCs w:val="36"/>
    </w:rPr>
  </w:style>
  <w:style w:type="paragraph" w:styleId="24">
    <w:name w:val="toa heading"/>
    <w:basedOn w:val="1"/>
    <w:next w:val="1"/>
    <w:qFormat/>
    <w:uiPriority w:val="0"/>
    <w:pPr>
      <w:spacing w:before="120"/>
    </w:pPr>
    <w:rPr>
      <w:rFonts w:ascii="Times New Roman" w:hAnsi="Times New Roman" w:cs="Arial"/>
      <w:sz w:val="20"/>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Ascii" w:hAnsiTheme="minorAscii" w:eastAsiaTheme="minorEastAsia" w:cstheme="minorBidi"/>
      <w:sz w:val="20"/>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Layout w:type="fixed"/>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8"/>
    <w:link w:val="38"/>
    <w:qFormat/>
    <w:uiPriority w:val="0"/>
    <w:rPr>
      <w:rFonts w:ascii="Consolas" w:hAnsi="Consolas"/>
      <w:sz w:val="22"/>
    </w:rPr>
  </w:style>
  <w:style w:type="paragraph" w:customStyle="1" w:styleId="38">
    <w:name w:val="Source Code"/>
    <w:basedOn w:val="1"/>
    <w:link w:val="37"/>
    <w:qFormat/>
    <w:uiPriority w:val="0"/>
    <w:pPr>
      <w:shd w:val="clear" w:fill="F8F8F8"/>
      <w:wordWrap w:val="0"/>
    </w:pPr>
  </w:style>
  <w:style w:type="paragraph" w:customStyle="1" w:styleId="39">
    <w:name w:val="TOC Heading"/>
    <w:basedOn w:val="2"/>
    <w:next w:val="3"/>
    <w:unhideWhenUsed/>
    <w:qFormat/>
    <w:uiPriority w:val="39"/>
    <w:pPr>
      <w:spacing w:before="240" w:line="259" w:lineRule="auto"/>
      <w:outlineLvl w:val="9"/>
    </w:pPr>
    <w:rPr>
      <w:rFonts w:ascii="Times New Roman" w:hAnsi="Times New Roman"/>
      <w:b w:val="0"/>
      <w:bCs w:val="0"/>
      <w:color w:val="366091" w:themeColor="accent1" w:themeShade="BF"/>
      <w:sz w:val="20"/>
    </w:rPr>
  </w:style>
  <w:style w:type="character" w:customStyle="1" w:styleId="40">
    <w:name w:val="KeywordTok"/>
    <w:basedOn w:val="37"/>
    <w:qFormat/>
    <w:uiPriority w:val="0"/>
    <w:rPr>
      <w:b/>
      <w:color w:val="204A87"/>
      <w:shd w:val="clear" w:fill="F8F8F8"/>
    </w:rPr>
  </w:style>
  <w:style w:type="character" w:customStyle="1" w:styleId="41">
    <w:name w:val="DataTypeTok"/>
    <w:basedOn w:val="37"/>
    <w:qFormat/>
    <w:uiPriority w:val="0"/>
    <w:rPr>
      <w:color w:val="204A87"/>
      <w:shd w:val="clear" w:fill="F8F8F8"/>
    </w:rPr>
  </w:style>
  <w:style w:type="character" w:customStyle="1" w:styleId="42">
    <w:name w:val="DecValTok"/>
    <w:basedOn w:val="37"/>
    <w:qFormat/>
    <w:uiPriority w:val="0"/>
    <w:rPr>
      <w:color w:val="0000CF"/>
      <w:shd w:val="clear" w:fill="F8F8F8"/>
    </w:rPr>
  </w:style>
  <w:style w:type="character" w:customStyle="1" w:styleId="43">
    <w:name w:val="BaseNTok"/>
    <w:basedOn w:val="37"/>
    <w:qFormat/>
    <w:uiPriority w:val="0"/>
    <w:rPr>
      <w:color w:val="0000CF"/>
      <w:shd w:val="clear" w:fill="F8F8F8"/>
    </w:rPr>
  </w:style>
  <w:style w:type="character" w:customStyle="1" w:styleId="44">
    <w:name w:val="FloatTok"/>
    <w:basedOn w:val="37"/>
    <w:qFormat/>
    <w:uiPriority w:val="0"/>
    <w:rPr>
      <w:color w:val="0000CF"/>
      <w:shd w:val="clear" w:fill="F8F8F8"/>
    </w:rPr>
  </w:style>
  <w:style w:type="character" w:customStyle="1" w:styleId="45">
    <w:name w:val="ConstantTok"/>
    <w:basedOn w:val="37"/>
    <w:qFormat/>
    <w:uiPriority w:val="0"/>
    <w:rPr>
      <w:color w:val="000000"/>
      <w:shd w:val="clear" w:fill="F8F8F8"/>
    </w:rPr>
  </w:style>
  <w:style w:type="character" w:customStyle="1" w:styleId="46">
    <w:name w:val="CharTok"/>
    <w:basedOn w:val="37"/>
    <w:qFormat/>
    <w:uiPriority w:val="0"/>
    <w:rPr>
      <w:color w:val="4E9A06"/>
      <w:shd w:val="clear" w:fill="F8F8F8"/>
    </w:rPr>
  </w:style>
  <w:style w:type="character" w:customStyle="1" w:styleId="47">
    <w:name w:val="SpecialCharTok"/>
    <w:basedOn w:val="37"/>
    <w:qFormat/>
    <w:uiPriority w:val="0"/>
    <w:rPr>
      <w:color w:val="000000"/>
      <w:shd w:val="clear" w:fill="F8F8F8"/>
    </w:rPr>
  </w:style>
  <w:style w:type="character" w:customStyle="1" w:styleId="48">
    <w:name w:val="StringTok"/>
    <w:basedOn w:val="37"/>
    <w:qFormat/>
    <w:uiPriority w:val="0"/>
    <w:rPr>
      <w:color w:val="4E9A06"/>
      <w:shd w:val="clear" w:fill="F8F8F8"/>
    </w:rPr>
  </w:style>
  <w:style w:type="character" w:customStyle="1" w:styleId="49">
    <w:name w:val="VerbatimStringTok"/>
    <w:basedOn w:val="37"/>
    <w:qFormat/>
    <w:uiPriority w:val="0"/>
    <w:rPr>
      <w:color w:val="4E9A06"/>
      <w:shd w:val="clear" w:fill="F8F8F8"/>
    </w:rPr>
  </w:style>
  <w:style w:type="character" w:customStyle="1" w:styleId="50">
    <w:name w:val="SpecialStringTok"/>
    <w:basedOn w:val="37"/>
    <w:qFormat/>
    <w:uiPriority w:val="0"/>
    <w:rPr>
      <w:color w:val="4E9A06"/>
      <w:shd w:val="clear" w:fill="F8F8F8"/>
    </w:rPr>
  </w:style>
  <w:style w:type="character" w:customStyle="1" w:styleId="51">
    <w:name w:val="ImportTok"/>
    <w:basedOn w:val="37"/>
    <w:qFormat/>
    <w:uiPriority w:val="0"/>
    <w:rPr>
      <w:shd w:val="clear" w:fill="F8F8F8"/>
    </w:rPr>
  </w:style>
  <w:style w:type="character" w:customStyle="1" w:styleId="52">
    <w:name w:val="CommentTok"/>
    <w:basedOn w:val="37"/>
    <w:qFormat/>
    <w:uiPriority w:val="0"/>
    <w:rPr>
      <w:i/>
      <w:color w:val="8F5902"/>
      <w:shd w:val="clear" w:fill="F8F8F8"/>
    </w:rPr>
  </w:style>
  <w:style w:type="character" w:customStyle="1" w:styleId="53">
    <w:name w:val="DocumentationTok"/>
    <w:basedOn w:val="37"/>
    <w:qFormat/>
    <w:uiPriority w:val="0"/>
    <w:rPr>
      <w:b/>
      <w:i/>
      <w:color w:val="8F5902"/>
      <w:shd w:val="clear" w:fill="F8F8F8"/>
    </w:rPr>
  </w:style>
  <w:style w:type="character" w:customStyle="1" w:styleId="54">
    <w:name w:val="AnnotationTok"/>
    <w:basedOn w:val="37"/>
    <w:qFormat/>
    <w:uiPriority w:val="0"/>
    <w:rPr>
      <w:b/>
      <w:i/>
      <w:color w:val="8F5902"/>
      <w:shd w:val="clear" w:fill="F8F8F8"/>
    </w:rPr>
  </w:style>
  <w:style w:type="character" w:customStyle="1" w:styleId="55">
    <w:name w:val="CommentVarTok"/>
    <w:basedOn w:val="37"/>
    <w:qFormat/>
    <w:uiPriority w:val="0"/>
    <w:rPr>
      <w:b/>
      <w:i/>
      <w:color w:val="8F5902"/>
      <w:shd w:val="clear" w:fill="F8F8F8"/>
    </w:rPr>
  </w:style>
  <w:style w:type="character" w:customStyle="1" w:styleId="56">
    <w:name w:val="OtherTok"/>
    <w:basedOn w:val="37"/>
    <w:qFormat/>
    <w:uiPriority w:val="0"/>
    <w:rPr>
      <w:color w:val="8F5902"/>
      <w:shd w:val="clear" w:fill="F8F8F8"/>
    </w:rPr>
  </w:style>
  <w:style w:type="character" w:customStyle="1" w:styleId="57">
    <w:name w:val="FunctionTok"/>
    <w:basedOn w:val="37"/>
    <w:qFormat/>
    <w:uiPriority w:val="0"/>
    <w:rPr>
      <w:color w:val="000000"/>
      <w:shd w:val="clear" w:fill="F8F8F8"/>
    </w:rPr>
  </w:style>
  <w:style w:type="character" w:customStyle="1" w:styleId="58">
    <w:name w:val="VariableTok"/>
    <w:basedOn w:val="37"/>
    <w:qFormat/>
    <w:uiPriority w:val="0"/>
    <w:rPr>
      <w:color w:val="000000"/>
      <w:shd w:val="clear" w:fill="F8F8F8"/>
    </w:rPr>
  </w:style>
  <w:style w:type="character" w:customStyle="1" w:styleId="59">
    <w:name w:val="ControlFlowTok"/>
    <w:basedOn w:val="37"/>
    <w:qFormat/>
    <w:uiPriority w:val="0"/>
    <w:rPr>
      <w:b/>
      <w:color w:val="204A87"/>
      <w:shd w:val="clear" w:fill="F8F8F8"/>
    </w:rPr>
  </w:style>
  <w:style w:type="character" w:customStyle="1" w:styleId="60">
    <w:name w:val="OperatorTok"/>
    <w:basedOn w:val="37"/>
    <w:qFormat/>
    <w:uiPriority w:val="0"/>
    <w:rPr>
      <w:b/>
      <w:color w:val="CE5C00"/>
      <w:shd w:val="clear" w:fill="F8F8F8"/>
    </w:rPr>
  </w:style>
  <w:style w:type="character" w:customStyle="1" w:styleId="61">
    <w:name w:val="BuiltInTok"/>
    <w:basedOn w:val="37"/>
    <w:qFormat/>
    <w:uiPriority w:val="0"/>
    <w:rPr>
      <w:shd w:val="clear" w:fill="F8F8F8"/>
    </w:rPr>
  </w:style>
  <w:style w:type="character" w:customStyle="1" w:styleId="62">
    <w:name w:val="ExtensionTok"/>
    <w:basedOn w:val="37"/>
    <w:qFormat/>
    <w:uiPriority w:val="0"/>
    <w:rPr>
      <w:shd w:val="clear" w:fill="F8F8F8"/>
    </w:rPr>
  </w:style>
  <w:style w:type="character" w:customStyle="1" w:styleId="63">
    <w:name w:val="PreprocessorTok"/>
    <w:basedOn w:val="37"/>
    <w:qFormat/>
    <w:uiPriority w:val="0"/>
    <w:rPr>
      <w:i/>
      <w:color w:val="8F5902"/>
      <w:shd w:val="clear" w:fill="F8F8F8"/>
    </w:rPr>
  </w:style>
  <w:style w:type="character" w:customStyle="1" w:styleId="64">
    <w:name w:val="AttributeTok"/>
    <w:basedOn w:val="37"/>
    <w:qFormat/>
    <w:uiPriority w:val="0"/>
    <w:rPr>
      <w:color w:val="C4A000"/>
      <w:shd w:val="clear" w:fill="F8F8F8"/>
    </w:rPr>
  </w:style>
  <w:style w:type="character" w:customStyle="1" w:styleId="65">
    <w:name w:val="RegionMarkerTok"/>
    <w:basedOn w:val="37"/>
    <w:qFormat/>
    <w:uiPriority w:val="0"/>
    <w:rPr>
      <w:shd w:val="clear" w:fill="F8F8F8"/>
    </w:rPr>
  </w:style>
  <w:style w:type="character" w:customStyle="1" w:styleId="66">
    <w:name w:val="InformationTok"/>
    <w:basedOn w:val="37"/>
    <w:qFormat/>
    <w:uiPriority w:val="0"/>
    <w:rPr>
      <w:b/>
      <w:i/>
      <w:color w:val="8F5902"/>
      <w:shd w:val="clear" w:fill="F8F8F8"/>
    </w:rPr>
  </w:style>
  <w:style w:type="character" w:customStyle="1" w:styleId="67">
    <w:name w:val="WarningTok"/>
    <w:basedOn w:val="37"/>
    <w:qFormat/>
    <w:uiPriority w:val="0"/>
    <w:rPr>
      <w:b/>
      <w:i/>
      <w:color w:val="8F5902"/>
      <w:shd w:val="clear" w:fill="F8F8F8"/>
    </w:rPr>
  </w:style>
  <w:style w:type="character" w:customStyle="1" w:styleId="68">
    <w:name w:val="AlertTok"/>
    <w:basedOn w:val="37"/>
    <w:qFormat/>
    <w:uiPriority w:val="0"/>
    <w:rPr>
      <w:color w:val="EF2929"/>
      <w:shd w:val="clear" w:fill="F8F8F8"/>
    </w:rPr>
  </w:style>
  <w:style w:type="character" w:customStyle="1" w:styleId="69">
    <w:name w:val="ErrorTok"/>
    <w:basedOn w:val="37"/>
    <w:qFormat/>
    <w:uiPriority w:val="0"/>
    <w:rPr>
      <w:b/>
      <w:color w:val="A40000"/>
      <w:shd w:val="clear" w:fill="F8F8F8"/>
    </w:rPr>
  </w:style>
  <w:style w:type="character" w:customStyle="1" w:styleId="70">
    <w:name w:val="NormalTok"/>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2020-01-17T01:28:00Z</dcterms:created>
  <dc:creator>author</dc:creator>
  <cp:lastModifiedBy>calzzone</cp:lastModifiedBy>
  <dcterms:modified xsi:type="dcterms:W3CDTF">2020-01-17T12:44:55Z</dcterms:modified>
  <dc:title>Role of adiponectin and TNF-alpha in the pathogenesis and evolution of type 1 diabetes mellitus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1033-11.1.0.9080</vt:lpwstr>
  </property>
</Properties>
</file>