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36.png" ContentType="image/png"/>
  <Override PartName="/word/media/rId37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29.png" ContentType="image/png"/>
  <Override PartName="/word/media/rId42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30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32.png" ContentType="image/png"/>
  <Override PartName="/word/media/rId34.png" ContentType="image/png"/>
  <Override PartName="/word/media/rId35.png" ContentType="image/png"/>
  <Override PartName="/word/media/" ContentType="application/octet-stream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19"/>
      </w:pPr>
      <w:r>
        <w:t xml:space="preserve">Lucrare</w:t>
      </w:r>
      <w:r>
        <w:t xml:space="preserve"> </w:t>
      </w:r>
      <w:r>
        <w:t xml:space="preserve">de</w:t>
      </w:r>
      <w:r>
        <w:t xml:space="preserve"> </w:t>
      </w:r>
      <w:r>
        <w:t xml:space="preserve">licență</w:t>
      </w:r>
    </w:p>
    <w:p>
      <w:pPr>
        <w:pStyle w:val="18"/>
      </w:pPr>
      <w:r>
        <w:t xml:space="preserve">Lucrare</w:t>
      </w:r>
      <w:r>
        <w:t xml:space="preserve"> </w:t>
      </w:r>
      <w:r>
        <w:t xml:space="preserve">de</w:t>
      </w:r>
      <w:r>
        <w:t xml:space="preserve"> </w:t>
      </w:r>
      <w:r>
        <w:t xml:space="preserve">licență</w:t>
      </w:r>
    </w:p>
    <w:p>
      <w:pPr>
        <w:pStyle w:val="32"/>
      </w:pPr>
      <w:r>
        <w:t xml:space="preserve">Marcel</w:t>
      </w:r>
      <w:r>
        <w:t xml:space="preserve"> </w:t>
      </w:r>
      <w:r>
        <w:t xml:space="preserve">Narita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43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30"/>
      </w:pPr>
      <w:hyperlink r:id="rId20">
        <w:r>
          <w:rPr>
            <w:rStyle w:val="26"/>
          </w:rPr>
          <w:t xml:space="preserve">https://rpubs.com/alex_istrate/n24c9fuoqrgb</w:t>
        </w:r>
      </w:hyperlink>
    </w:p>
    <w:p>
      <w:pPr>
        <w:pStyle w:val="2"/>
      </w:pPr>
      <w:bookmarkStart w:id="21" w:name="partea-generală"/>
      <w:r>
        <w:t xml:space="preserve">Partea generală</w:t>
      </w:r>
      <w:bookmarkEnd w:id="21"/>
    </w:p>
    <w:p>
      <w:pPr>
        <w:pStyle w:val="2"/>
      </w:pPr>
      <w:bookmarkStart w:id="22" w:name="partea-specială"/>
      <w:r>
        <w:t xml:space="preserve">Partea specială</w:t>
      </w:r>
      <w:bookmarkEnd w:id="22"/>
    </w:p>
    <w:p>
      <w:pPr>
        <w:pStyle w:val="3"/>
      </w:pPr>
      <w:bookmarkStart w:id="23" w:name="introducere"/>
      <w:r>
        <w:t xml:space="preserve">Introducere</w:t>
      </w:r>
      <w:bookmarkEnd w:id="23"/>
    </w:p>
    <w:p>
      <w:pPr>
        <w:pStyle w:val="4"/>
      </w:pPr>
      <w:bookmarkStart w:id="24" w:name="obiective"/>
      <w:r>
        <w:t xml:space="preserve">Obiective</w:t>
      </w:r>
      <w:bookmarkEnd w:id="24"/>
    </w:p>
    <w:p>
      <w:pPr>
        <w:pStyle w:val="3"/>
      </w:pPr>
      <w:bookmarkStart w:id="25" w:name="material-și-metode"/>
      <w:r>
        <w:t xml:space="preserve">Material și metode</w:t>
      </w:r>
      <w:bookmarkEnd w:id="25"/>
    </w:p>
    <w:p>
      <w:pPr>
        <w:pStyle w:val="4"/>
      </w:pPr>
      <w:bookmarkStart w:id="26" w:name="analiza-statistică-a-datelor"/>
      <w:r>
        <w:t xml:space="preserve">Analiza statistică a datelor</w:t>
      </w:r>
      <w:bookmarkEnd w:id="26"/>
    </w:p>
    <w:p>
      <w:pPr>
        <w:pStyle w:val="30"/>
      </w:pPr>
      <w:r>
        <w:t xml:space="preserve">Pentru variabilele calitative, am folosit pie-uri sau bar-chart-uri și am calculat frecvențele absolute și relative ale categoriilor formate. Pentru a descrie relațiile dintre variabilele calitative am folosit testele Fisher și Odds-Ratio (OR) cu IC95% sau Chi² și Cramer V. Am prezentat grafic rezultatele sub forma unor bar-chart-uri.</w:t>
      </w:r>
    </w:p>
    <w:p>
      <w:pPr>
        <w:pStyle w:val="12"/>
      </w:pPr>
      <w:r>
        <w:t xml:space="preserve">Am folosit Microsoft Excel 2016 pentru managementul bazei de date. Pentru toate analizele statistice și graficele ulterioare am folosit R 3.6.2 [1]. Am considerat p &lt; 0.05 ca fiind semnificativ statistic și p &lt; 0.1 ca prezentând doar o tendință spre semnificativitate statistică.</w:t>
      </w:r>
    </w:p>
    <w:p>
      <w:pPr>
        <w:pStyle w:val="3"/>
      </w:pPr>
      <w:bookmarkStart w:id="27" w:name="rezulate"/>
      <w:r>
        <w:t xml:space="preserve">Rezulate</w:t>
      </w:r>
      <w:bookmarkEnd w:id="27"/>
    </w:p>
    <w:p>
      <w:pPr>
        <w:pStyle w:val="4"/>
      </w:pPr>
      <w:bookmarkStart w:id="28" w:name="demografie"/>
      <w:r>
        <w:t xml:space="preserve">Demografie</w:t>
      </w:r>
      <w:bookmarkEnd w:id="28"/>
    </w:p>
    <w:p>
      <w:pPr>
        <w:pStyle w:val="30"/>
      </w:pPr>
      <w:r>
        <w:t xml:space="preserve">Din totalul de 106 răspunsuri, 80 (75.5%) au fost femei și 86 (81.1%) au fost între 22 și 25 ani.</w:t>
      </w:r>
    </w:p>
    <w:p>
      <w:pPr>
        <w:pStyle w:val="12"/>
      </w:pPr>
      <w:r>
        <w:t xml:space="preserve">Tabel 1: Demographic parameters of the sample.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300"/>
        <w:gridCol w:w="867"/>
        <w:gridCol w:w="1245"/>
      </w:tblGrid>
      <w:tr>
        <w:trPr>
          <w:cantSplit/>
          <w:trHeight w:val="28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Variabila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Detalii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Total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N=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106</w:t>
            </w: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Sex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F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80 (75.5%)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M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26 (24.5%)</w:t>
            </w: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Vârsta (ani)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18-21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 (3.8%)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22-25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86 (81.1%)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&gt;25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16 (15.1%)</w:t>
            </w:r>
          </w:p>
        </w:tc>
      </w:tr>
    </w:tbl>
    <w:p>
      <w:pPr>
        <w:pStyle w:val="12"/>
      </w:pPr>
      <w:r>
        <w:drawing>
          <wp:inline>
            <wp:extent cx="4603972" cy="23019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230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r>
        <w:t xml:space="preserve">Figura 1: Sex and age groups distribution.</w:t>
      </w:r>
    </w:p>
    <w:p>
      <w:pPr>
        <w:pStyle w:val="12"/>
      </w:pPr>
      <w:r>
        <w:t xml:space="preserve">Distribuția pe grupe de vârstă a fost similară la cele 2 sexe (p=0.792).</w:t>
      </w:r>
    </w:p>
    <w:p>
      <w:pPr>
        <w:pStyle w:val="12"/>
      </w:pPr>
      <w:r>
        <w:drawing>
          <wp:inline>
            <wp:extent cx="4603972" cy="27623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2762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r>
        <w:t xml:space="preserve">Figura 2: Age distribution, by sex.</w:t>
      </w:r>
    </w:p>
    <w:p>
      <w:pPr>
        <w:pStyle w:val="4"/>
      </w:pPr>
      <w:bookmarkStart w:id="31" w:name="accentuarea-simptomelor-la-stres"/>
      <w:r>
        <w:t xml:space="preserve">Accentuarea simptomelor la stres</w:t>
      </w:r>
      <w:bookmarkEnd w:id="31"/>
    </w:p>
    <w:p>
      <w:pPr>
        <w:pStyle w:val="30"/>
      </w:pPr>
      <w:r>
        <w:t xml:space="preserve">Majoritatea participanșilor au declarat accentuarea simptomelor la stres (n=65, 65.7%), fără o asociere cu sexul sau vârsta.</w:t>
      </w:r>
    </w:p>
    <w:p>
      <w:pPr>
        <w:pStyle w:val="12"/>
      </w:pPr>
      <w:r>
        <w:t xml:space="preserve">Tabel 2: Accentuarea simptomelor la stres, în funcție de sex și vârstă.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235"/>
        <w:gridCol w:w="1245"/>
        <w:gridCol w:w="1245"/>
        <w:gridCol w:w="1245"/>
        <w:gridCol w:w="3046"/>
      </w:tblGrid>
      <w:tr>
        <w:trPr>
          <w:cantSplit/>
          <w:trHeight w:val="28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Variabila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nu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Teste statistice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Accentuarea simptomelor la stres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65 (65.7%)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34 (34.3%)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99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Sex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51 (78.5%)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26 (76.5%)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77 (77.8%)</w:t>
            </w:r>
          </w:p>
        </w:tc>
        <w:tc>
          <w:tcPr>
            <w:vMerge w:val="restart"/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OR=1.12 [0.42, 3.01] (p=0.805)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14 (21.5%)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 (23.5%)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22 (22.2%)</w:t>
            </w:r>
          </w:p>
        </w:tc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Vârsta (ani)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(3.1%)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(5.9%)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 (4.0%)</w:t>
            </w:r>
          </w:p>
        </w:tc>
        <w:tc>
          <w:tcPr>
            <w:vMerge w:val="restart"/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V=0.07 (p=0.797)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53 (81.5%)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27 (79.4%)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80 (80.8%)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 (15.4%)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 (14.7%)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15 (15.2%)</w:t>
            </w:r>
          </w:p>
        </w:tc>
        <w:tc>
          <w:tcPr>
            <w:vMerge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gridSpan w:val="5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20"/>
                <w:szCs w:val="20"/>
                <w:color w:val="000000"/>
              </w:rPr>
              <w:t xml:space="preserve">OR = odds-ratio [cu IC 95%] și p calculat prin testul Fisher); V = Cramér V (p calculat prin testul Chi²); </w:t>
            </w:r>
          </w:p>
        </w:tc>
      </w:tr>
    </w:tbl>
    <w:p>
      <w:pPr>
        <w:pStyle w:val="12"/>
      </w:pPr>
      <w:r>
        <w:drawing>
          <wp:inline>
            <wp:extent cx="4603972" cy="23019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230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r>
        <w:t xml:space="preserve">Figura 3: Accentuarea simptomelor la stres, în funcție de sex și vârstă.</w:t>
      </w:r>
    </w:p>
    <w:p>
      <w:pPr>
        <w:pStyle w:val="4"/>
      </w:pPr>
      <w:bookmarkStart w:id="33" w:name="dispepsie-neinvestigată"/>
      <w:r>
        <w:t xml:space="preserve">Dispepsie neinvestigată</w:t>
      </w:r>
      <w:bookmarkEnd w:id="33"/>
    </w:p>
    <w:p>
      <w:pPr>
        <w:pStyle w:val="30"/>
      </w:pPr>
      <w:r>
        <w:t xml:space="preserve">Conform citeriilor ROMA IV, 40 pacienți (37.7%) au prezentat dispepsie neinvestigată. În ultimele 3 luni, cei mai mulți pacientți au acuzat plenitudine postprandială supărătoare (n=55, 51.9%), arsură epigastrică supărătoare (n=44, 41.5%), durere epigastrică supărătoare (n=41, 38.7%), și doar 28 pacienți (26.4%) au acuzat sațietate precoce supărătoare. La 40 pacienți (37.7%), simptomele au debuat mai recent de 6 luni.</w:t>
      </w:r>
    </w:p>
    <w:p>
      <w:pPr>
        <w:pStyle w:val="12"/>
      </w:pPr>
      <w:r>
        <w:t xml:space="preserve">Tabel 3: Dispepsie neinvestigată.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902"/>
        <w:gridCol w:w="1245"/>
      </w:tblGrid>
      <w:tr>
        <w:trPr>
          <w:cantSplit/>
          <w:trHeight w:val="28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Variabila*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 (%)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N=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106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Plenitudine postprandială supărătoare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55 (51.9%)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Sațietate precoce supărătoare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28 (26.4%)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Durere epigastrică supărătoare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41 (38.7%)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Arsură epigastrică supărătoare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44 (41.5%)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Simptome cu debut &gt; 6 luni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40 (37.7%)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Dispepsie neinvestigată (conf. ROMA IV)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40 (37.7%)</w:t>
            </w:r>
          </w:p>
        </w:tc>
      </w:tr>
      <w:tr>
        <w:trPr>
          <w:cantSplit/>
          <w:trHeight w:val="288" w:hRule="auto"/>
        </w:trPr>
        <w:tc>
          <w:tcPr>
            <w:gridSpan w:val="2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20"/>
                <w:szCs w:val="20"/>
                <w:color w:val="000000"/>
              </w:rPr>
              <w:t xml:space="preserve">* în ultimele 3 luni</w:t>
            </w:r>
          </w:p>
        </w:tc>
      </w:tr>
    </w:tbl>
    <w:p>
      <w:pPr>
        <w:pStyle w:val="12"/>
      </w:pPr>
      <w:r>
        <w:drawing>
          <wp:inline>
            <wp:extent cx="4603972" cy="27623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2762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r>
        <w:t xml:space="preserve">Figura 4: Dispepsie neinvestigată.</w:t>
      </w:r>
    </w:p>
    <w:p>
      <w:pPr>
        <w:pStyle w:val="12"/>
      </w:pPr>
      <w:r>
        <w:t xml:space="preserve">Dintre cei 41 pacienți care au acuzat durere epigastrică supărătoare (39%), 37 (90%) au fost femei, față de 43 (66%) dintre cei 65 pacienți care nu a acuzat durere epigastrică supărătoare. Rezultă că femeile au OR=4.7 [IC95% = 1.5 la 15.0] ori mai mare de a avea durere epigastrică supărătoare decât bărbații (phi=0.27, p=0.005 semnificativ statistic conform testului Fisher).</w:t>
      </w:r>
    </w:p>
    <w:p>
      <w:pPr>
        <w:pStyle w:val="12"/>
      </w:pPr>
      <w:r>
        <w:t xml:space="preserve">Restul simptomelor nu s-au asciat semnificativ cu sexul.</w:t>
      </w:r>
    </w:p>
    <w:p>
      <w:pPr>
        <w:pStyle w:val="12"/>
      </w:pPr>
      <w:r>
        <w:t xml:space="preserve">Tabel 4: Dispepsie neinvestigată, in functie de sex.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902"/>
        <w:gridCol w:w="1245"/>
        <w:gridCol w:w="1245"/>
        <w:gridCol w:w="1245"/>
        <w:gridCol w:w="3158"/>
      </w:tblGrid>
      <w:tr>
        <w:trPr>
          <w:cantSplit/>
          <w:trHeight w:val="28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Variabila*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F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Teste statistice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Sex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80 (75.5%)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26 (24.5%)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106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Plenitudine postprandială supărătoare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45 (56.2%)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 (38.5%)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55 (51.9%)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OR=2.06 [0.83, 5.09] (p=0.175)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Sațietate precoce supărătoare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21 (26.2%)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 (26.9%)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28 (26.4%)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OR=0.97 [0.36, 2.62] (p&gt;0.999)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Durere epigastrică supărătoare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37 (46.2%)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4 (15.4%)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41 (38.7%)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OR=4.73 [1.49, 14.98] (p=0.005)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Arsură epigastrică supărătoare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33 (41.2%)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11 (42.3%)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44 (41.5%)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OR=0.96 [0.39, 2.35] (p&gt;0.999)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Simptome cu debut &gt; 6 luni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31 (38.8%)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 (34.6%)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40 (37.7%)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OR=1.20 [0.47, 3.01] (p=0.817)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Dispepsie neinvestigată (conf. ROMA IV)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31 (38.8%)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 (34.6%)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40 (37.7%)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OR=1.20 [0.47, 3.01] (p=0.817)</w:t>
            </w:r>
          </w:p>
        </w:tc>
      </w:tr>
      <w:tr>
        <w:trPr>
          <w:cantSplit/>
          <w:trHeight w:val="288" w:hRule="auto"/>
        </w:trPr>
        <w:tc>
          <w:tcPr>
            <w:gridSpan w:val="5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20"/>
                <w:szCs w:val="20"/>
                <w:color w:val="000000"/>
              </w:rPr>
              <w:t xml:space="preserve">OR = odds-ratio [cu IC 95%] și p calculat prin testul Fisher); </w:t>
              <w:br/>
              <w:t xml:space="preserve">* în ultimele 3 luni</w:t>
            </w:r>
          </w:p>
        </w:tc>
      </w:tr>
    </w:tbl>
    <w:p>
      <w:pPr>
        <w:pStyle w:val="12"/>
      </w:pPr>
      <w:r>
        <w:drawing>
          <wp:inline>
            <wp:extent cx="4603972" cy="27623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2762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r>
        <w:t xml:space="preserve">Figura 5: Dispepsie neinvestigată, in functie de sex.</w:t>
      </w:r>
    </w:p>
    <w:p>
      <w:pPr>
        <w:pStyle w:val="12"/>
      </w:pPr>
      <w:r>
        <w:t xml:space="preserve">În mod similar, vârsta s-a asociat semnficativ statistic cu acuzele de durere epigastrică supărătoare (la toți cei 4 pacienți de 18-21 ani, 36% dintre cei 86 pacienți de 22-25 ani și 37.5% dintre cei 16 pacienți de :25 aniș p=0.037).</w:t>
      </w:r>
    </w:p>
    <w:p>
      <w:pPr>
        <w:pStyle w:val="12"/>
      </w:pPr>
      <w:r>
        <w:t xml:space="preserve">Tabel 5: Dispepsie neinvestigată, in functie de vârstă.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902"/>
        <w:gridCol w:w="1134"/>
        <w:gridCol w:w="1245"/>
        <w:gridCol w:w="1245"/>
        <w:gridCol w:w="1245"/>
        <w:gridCol w:w="1823"/>
      </w:tblGrid>
      <w:tr>
        <w:trPr>
          <w:cantSplit/>
          <w:trHeight w:val="28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Variabila*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18-21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22-25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&gt;25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Teste statistice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Vârsta (ani)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4 (3.8%)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86 (81.1%)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16 (15.1%)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106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Plenitudine postprandială supărătoare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(50.0%)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44 (51.2%)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 (56.2%)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55 (51.9%)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V=0.04 (p=0.930)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Sațietate precoce supărătoare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(50.0%)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23 (26.7%)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 (18.8%)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28 (26.4%)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V=0.12 (p=0.442)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Durere epigastrică supărătoare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4 (100%)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31 (36.0%)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6 (37.5%)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41 (38.7%)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V=0.25 (p=0.037)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Arsură epigastrică supărătoare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 (75.0%)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35 (40.7%)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 (37.5%)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44 (41.5%)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V=0.14 (p=0.372)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Simptome cu debut &gt; 6 luni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 (75.0%)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31 (36.0%)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 (37.5%)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40 (37.7%)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V=0.15 (p=0.291)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Dispepsie neinvestigată (conf. ROMA IV)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 (75.0%)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31 (36.0%)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 (37.5%)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40 (37.7%)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V=0.15 (p=0.291)</w:t>
            </w:r>
          </w:p>
        </w:tc>
      </w:tr>
      <w:tr>
        <w:trPr>
          <w:cantSplit/>
          <w:trHeight w:val="288" w:hRule="auto"/>
        </w:trPr>
        <w:tc>
          <w:tcPr>
            <w:gridSpan w:val="6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20"/>
                <w:szCs w:val="20"/>
                <w:color w:val="000000"/>
              </w:rPr>
              <w:t xml:space="preserve">OR = odds-ratio [cu IC 95%] și p calculat prin testul Fisher); V = Cramér V (p calculat prin testul Chi²); </w:t>
              <w:br/>
              <w:t xml:space="preserve">* în ultimele 3 luni</w:t>
            </w:r>
          </w:p>
        </w:tc>
      </w:tr>
    </w:tbl>
    <w:p>
      <w:pPr>
        <w:pStyle w:val="12"/>
      </w:pPr>
      <w:r>
        <w:drawing>
          <wp:inline>
            <wp:extent cx="4603972" cy="27623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2762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r>
        <w:t xml:space="preserve">Figura 6: Dispepsie neinvestigată, in functie de vârstă.</w:t>
      </w:r>
    </w:p>
    <w:p>
      <w:pPr>
        <w:pStyle w:val="12"/>
      </w:pPr>
      <w:r>
        <w:t xml:space="preserve">Toate simptomele au fost statisitc mai probabile la pacienții care au declarat accentuarea simptomelor la stres.</w:t>
      </w:r>
    </w:p>
    <w:p>
      <w:pPr>
        <w:pStyle w:val="12"/>
      </w:pPr>
      <w:r>
        <w:t xml:space="preserve">Tabel 6: Dispepsie neinvestigată, in functie de accentuarea simptomelor la stres.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902"/>
        <w:gridCol w:w="1245"/>
        <w:gridCol w:w="1245"/>
        <w:gridCol w:w="1245"/>
        <w:gridCol w:w="3158"/>
      </w:tblGrid>
      <w:tr>
        <w:trPr>
          <w:cantSplit/>
          <w:trHeight w:val="28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Variabila*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nu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Teste statistice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Accentuarea simptomelor la stres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65 (65.7%)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34 (34.3%)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99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Plenitudine postprandială supărătoare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45 (69.2%)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8 (23.5%)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53 (53.5%)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OR=7.31 [2.82, 18.94] (p&lt;0.001)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Sațietate precoce supărătoare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24 (36.9%)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3 (8.8%)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27 (27.3%)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OR=6.05 [1.67, 21.92] (p=0.004)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Durere epigastrică supărătoare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33 (50.8%)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8 (23.5%)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41 (41.4%)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OR=3.35 [1.32, 8.49] (p=0.010)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Arsură epigastrică supărătoare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38 (58.5%)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5 (14.7%)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43 (43.4%)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OR=8.16 [2.80, 23.79] (p&lt;0.001)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Simptome cu debut &gt; 6 luni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34 (52.3%)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4 (11.8%)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38 (38.4%)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OR=8.23 [2.60, 26.01] (p&lt;0.001)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Dispepsie neinvestigată (conf. ROMA IV)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34 (52.3%)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4 (11.8%)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38 (38.4%)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OR=8.23 [2.60, 26.01] (p&lt;0.001)</w:t>
            </w:r>
          </w:p>
        </w:tc>
      </w:tr>
      <w:tr>
        <w:trPr>
          <w:cantSplit/>
          <w:trHeight w:val="288" w:hRule="auto"/>
        </w:trPr>
        <w:tc>
          <w:tcPr>
            <w:gridSpan w:val="5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20"/>
                <w:szCs w:val="20"/>
                <w:color w:val="000000"/>
              </w:rPr>
              <w:t xml:space="preserve">OR = odds-ratio [cu IC 95%] și p calculat prin testul Fisher); </w:t>
              <w:br/>
              <w:t xml:space="preserve">* în ultimele 3 luni</w:t>
            </w:r>
          </w:p>
        </w:tc>
      </w:tr>
    </w:tbl>
    <w:p>
      <w:pPr>
        <w:pStyle w:val="12"/>
      </w:pPr>
      <w:r>
        <w:drawing>
          <wp:inline>
            <wp:extent cx="4603972" cy="27623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2762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r>
        <w:t xml:space="preserve">Figura 7: Dispepsie neinvestigată, in functie de accentuarea simptomelor la stres.</w:t>
      </w:r>
    </w:p>
    <w:p>
      <w:pPr>
        <w:pStyle w:val="4"/>
      </w:pPr>
      <w:bookmarkStart w:id="38" w:name="intestin-iritabil"/>
      <w:r>
        <w:t xml:space="preserve">Intestin iritabil</w:t>
      </w:r>
      <w:bookmarkEnd w:id="38"/>
    </w:p>
    <w:p>
      <w:pPr>
        <w:pStyle w:val="30"/>
      </w:pPr>
      <w:r>
        <w:t xml:space="preserve">Conform citeriilor ROMA IV, 14 pacienți (13.2%) au prezentat intestin iritabil. În ultimele 3 luni, în cel puțin 1 zi/ săptămână, cei mai mulți pacienți au acuzat durere abdominală recurentă asociată cu schimbarea frecvenței scaunului (n=36, 34.0%), schimbarea formei / aspectului scaunului (n=28, 26.4%), și doar la 26 pacienți (24.5%), cu defecația. La 23 pacienți (21.7%), simptomele au debuat mai recent de 6 luni.</w:t>
      </w:r>
    </w:p>
    <w:p>
      <w:pPr>
        <w:pStyle w:val="12"/>
      </w:pPr>
      <w:r>
        <w:t xml:space="preserve">Tabel 7: Intestin iritabil.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257"/>
        <w:gridCol w:w="1245"/>
      </w:tblGrid>
      <w:tr>
        <w:trPr>
          <w:cantSplit/>
          <w:trHeight w:val="28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Durere abdominală recurentă asociată cu: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 (%)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N=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106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Defecația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26 (24.5%)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Schimbarea frecvenței scaunului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36 (34.0%)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Schimbare în forma / aspectul scaunului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28 (26.4%)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Simptome cu debut &gt; 6 luni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23 (21.7%)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Intestin iritabil (conf. ROMA IV)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14 (13.2%)</w:t>
            </w:r>
          </w:p>
        </w:tc>
      </w:tr>
      <w:tr>
        <w:trPr>
          <w:cantSplit/>
          <w:trHeight w:val="288" w:hRule="auto"/>
        </w:trPr>
        <w:tc>
          <w:tcPr>
            <w:gridSpan w:val="2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20"/>
                <w:szCs w:val="20"/>
                <w:color w:val="000000"/>
              </w:rPr>
              <w:t xml:space="preserve">* în ultimele 3 luni, în cel puțin 1 zi/ săptămână</w:t>
            </w:r>
          </w:p>
        </w:tc>
      </w:tr>
    </w:tbl>
    <w:p>
      <w:pPr>
        <w:pStyle w:val="12"/>
      </w:pPr>
      <w:r>
        <w:drawing>
          <wp:inline>
            <wp:extent cx="4603972" cy="27623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2762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r>
        <w:t xml:space="preserve">Figura 8: Intestin iritabil.</w:t>
      </w:r>
    </w:p>
    <w:p>
      <w:pPr>
        <w:pStyle w:val="12"/>
      </w:pPr>
      <w:r>
        <w:t xml:space="preserve">Sexul și vârsta nu s-au asociat semnificativ statisitc cu niciunul dintre criteriile intestinului iritablil.</w:t>
      </w:r>
    </w:p>
    <w:p>
      <w:pPr>
        <w:pStyle w:val="12"/>
      </w:pPr>
      <w:r>
        <w:t xml:space="preserve">Tabel 8: Intestin iritabil, in functie de sex.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257"/>
        <w:gridCol w:w="1245"/>
        <w:gridCol w:w="1245"/>
        <w:gridCol w:w="1245"/>
        <w:gridCol w:w="3046"/>
      </w:tblGrid>
      <w:tr>
        <w:trPr>
          <w:cantSplit/>
          <w:trHeight w:val="28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Durere abdominală recurentă asociată cu: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F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Teste statistice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Sex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80 (75.5%)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26 (24.5%)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106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Defecația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20 (25.0%)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 (23.1%)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26 (24.5%)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OR=1.11 [0.39, 3.15] (p&gt;0.999)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Schimbarea frecvenței scaunului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31 (38.8%)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 (19.2%)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36 (34.0%)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OR=2.66 [0.91, 7.78] (p=0.095)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Schimbare în forma / aspectul scaunului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20 (25.0%)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 (30.8%)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28 (26.4%)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OR=0.75 [0.28, 1.99] (p=0.612)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Simptome cu debut &gt; 6 luni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16 (20.0%)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 (26.9%)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23 (21.7%)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OR=0.68 [0.24, 1.89] (p=0.584)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Intestin iritabil (conf. ROMA IV)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 (11.2%)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 (19.2%)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14 (13.2%)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OR=0.53 [0.16, 1.76] (p=0.324)</w:t>
            </w:r>
          </w:p>
        </w:tc>
      </w:tr>
      <w:tr>
        <w:trPr>
          <w:cantSplit/>
          <w:trHeight w:val="288" w:hRule="auto"/>
        </w:trPr>
        <w:tc>
          <w:tcPr>
            <w:gridSpan w:val="5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20"/>
                <w:szCs w:val="20"/>
                <w:color w:val="000000"/>
              </w:rPr>
              <w:t xml:space="preserve">OR = odds-ratio [cu IC 95%] și p calculat prin testul Fisher); </w:t>
              <w:br/>
              <w:t xml:space="preserve">* în ultimele 3 luni, în cel puțin 1 zi/ săptămână</w:t>
            </w:r>
          </w:p>
        </w:tc>
      </w:tr>
    </w:tbl>
    <w:p>
      <w:pPr>
        <w:pStyle w:val="12"/>
      </w:pPr>
      <w:r>
        <w:drawing>
          <wp:inline>
            <wp:extent cx="4603972" cy="27623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2762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Figura 9: Intestin iritabil, in functie de sex.</w:t>
      </w:r>
    </w:p>
    <w:p>
      <w:pPr>
        <w:pStyle w:val="12"/>
      </w:pPr>
      <w:r>
        <w:t xml:space="preserve">Tabel 9: Intestin iritabil, in functie de vârstă.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257"/>
        <w:gridCol w:w="1134"/>
        <w:gridCol w:w="1245"/>
        <w:gridCol w:w="1245"/>
        <w:gridCol w:w="1245"/>
        <w:gridCol w:w="1823"/>
      </w:tblGrid>
      <w:tr>
        <w:trPr>
          <w:cantSplit/>
          <w:trHeight w:val="28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Durere abdominală recurentă asociată cu: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18-21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22-25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&gt;25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Teste statistice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Vârsta (ani)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4 (3.8%)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86 (81.1%)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16 (15.1%)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106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Defecația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22 (25.6%)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 (25.0%)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26 (24.5%)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V=0.11 (p=0.508)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Schimbarea frecvenței scaunului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(25.0%)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33 (38.4%)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(12.5%)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36 (34.0%)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V=0.20 (p=0.124)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Schimbare în forma / aspectul scaunului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(25.0%)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25 (29.1%)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(12.5%)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28 (26.4%)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V=0.13 (p=0.385)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Simptome cu debut &gt; 6 luni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(25.0%)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18 (20.9%)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 (25.0%)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23 (21.7%)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V=0.04 (p=0.924)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Intestin iritabil (conf. ROMA IV)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(25.0%)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 (14.0%)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(6.2%)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14 (13.2%)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V=0.11 (p=0.548)</w:t>
            </w:r>
          </w:p>
        </w:tc>
      </w:tr>
      <w:tr>
        <w:trPr>
          <w:cantSplit/>
          <w:trHeight w:val="288" w:hRule="auto"/>
        </w:trPr>
        <w:tc>
          <w:tcPr>
            <w:gridSpan w:val="6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20"/>
                <w:szCs w:val="20"/>
                <w:color w:val="000000"/>
              </w:rPr>
              <w:t xml:space="preserve">V = Cramér V (p calculat prin testul Chi²); </w:t>
              <w:br/>
              <w:t xml:space="preserve">* în ultimele 3 luni, în cel puțin 1 zi/ săptămână</w:t>
            </w:r>
          </w:p>
        </w:tc>
      </w:tr>
    </w:tbl>
    <w:p>
      <w:pPr>
        <w:pStyle w:val="12"/>
      </w:pPr>
      <w:r>
        <w:drawing>
          <wp:inline>
            <wp:extent cx="4603972" cy="27623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2762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r>
        <w:t xml:space="preserve">Figura 10: Intestin iritabil, in functie de vârstă.</w:t>
      </w:r>
    </w:p>
    <w:p>
      <w:pPr>
        <w:pStyle w:val="12"/>
      </w:pPr>
      <w:r>
        <w:t xml:space="preserve">Dintre cei 13 pacienți cu DG: Intestin iritabil (13%), 11 (85%) au acuzat accentuarea simptomelor la stres, față de 54 (63%) dintre cei 86 pacienți fără DG de intestin iritabil. Rezultă că pacienții cu DG de Intestin iritabil au OR=3.3 [IC95% = 0.7 la 15.6 ] ori mai mare de a acuza accentuarea simptomelor la stres decât cei făă (phi=0.16, p=0.122 nesemnificativ statistic conform testului Chi²).</w:t>
      </w:r>
    </w:p>
    <w:p>
      <w:pPr>
        <w:pStyle w:val="12"/>
      </w:pPr>
      <w:r>
        <w:t xml:space="preserve">Totuși, toate cele 3 simptome și debutul simptmelor mai recent de 6 luni au fost semnificativ asociate cu o creștere a probabilității de a acuza accentuarea simptomelor la stres.</w:t>
      </w:r>
    </w:p>
    <w:p>
      <w:pPr>
        <w:pStyle w:val="12"/>
      </w:pPr>
      <w:r>
        <w:t xml:space="preserve">Tabel 10: Intestin iritabil, in functie de accentuarea simptomelor la stres.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257"/>
        <w:gridCol w:w="1245"/>
        <w:gridCol w:w="1245"/>
        <w:gridCol w:w="1245"/>
        <w:gridCol w:w="3158"/>
      </w:tblGrid>
      <w:tr>
        <w:trPr>
          <w:cantSplit/>
          <w:trHeight w:val="28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Durere abdominală recurentă asociată cu: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nu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Teste statistice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Accentuarea simptomelor la stres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65 (65.7%)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34 (34.3%)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99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Defecația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21 (32.3%)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4 (11.8%)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25 (25.3%)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OR=3.58 [1.12, 11.48] (p=0.029)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Schimbarea frecvenței scaunului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29 (44.6%)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5 (14.7%)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34 (34.3%)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OR=4.67 [1.61, 13.59] (p=0.004)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Schimbare în forma / aspectul scaunului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25 (38.5%)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3 (8.8%)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28 (28.3%)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OR=6.46 [1.78, 23.37] (p=0.002)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Simptome cu debut &gt; 6 luni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19 (29.2%)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2 (5.9%)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21 (21.2%)</w:t>
            </w:r>
          </w:p>
        </w:tc>
        <w:tc>
          <w:tcPr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OR=6.61 [1.44, 30.38] (p=0.009)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Intestin iritabil (conf. ROMA IV)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11 (16.9%)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(5.9%)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 (13.1%)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OR=3.26 [0.68, 15.65] (p=0.209)</w:t>
            </w:r>
          </w:p>
        </w:tc>
      </w:tr>
      <w:tr>
        <w:trPr>
          <w:cantSplit/>
          <w:trHeight w:val="288" w:hRule="auto"/>
        </w:trPr>
        <w:tc>
          <w:tcPr>
            <w:gridSpan w:val="5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20"/>
                <w:szCs w:val="20"/>
                <w:color w:val="000000"/>
              </w:rPr>
              <w:t xml:space="preserve">OR = odds-ratio [cu IC 95%] și p calculat prin testul Fisher); </w:t>
              <w:br/>
              <w:t xml:space="preserve">* în ultimele 3 luni, în cel puțin 1 zi/ săptămână</w:t>
            </w:r>
          </w:p>
        </w:tc>
      </w:tr>
    </w:tbl>
    <w:p>
      <w:pPr>
        <w:pStyle w:val="12"/>
      </w:pPr>
      <w:r>
        <w:drawing>
          <wp:inline>
            <wp:extent cx="4603972" cy="27623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2762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r>
        <w:t xml:space="preserve">Figura 11: Intestin iritabil, in functie de accentuarea simptomelor la stres.</w:t>
      </w:r>
    </w:p>
    <w:p>
      <w:pPr>
        <w:pStyle w:val="4"/>
      </w:pPr>
      <w:bookmarkStart w:id="43" w:name="factori-de-risc"/>
      <w:r>
        <w:t xml:space="preserve">Factori de risc</w:t>
      </w:r>
      <w:bookmarkEnd w:id="43"/>
    </w:p>
    <w:p>
      <w:pPr>
        <w:pStyle w:val="30"/>
      </w:pPr>
      <w:r>
        <w:t xml:space="preserve">Majoritatea pacienților au fost normoponderali (79.2%), câte 10 (9.4%) au fost sub- sau supra-ponderali si doar 2 pacienți au avut IMC &gt; 30 kg/m².</w:t>
      </w:r>
    </w:p>
    <w:p>
      <w:pPr>
        <w:pStyle w:val="12"/>
      </w:pPr>
      <w:r>
        <w:t xml:space="preserve">Doar 21.7% dinte partcipanți au decarat că nu consumă cafea, iar majoritatea paciențior au declarat consumnul de câte 1 (38.7%) sau 2 (30.2%) cești / zi.</w:t>
      </w:r>
    </w:p>
    <w:p>
      <w:pPr>
        <w:pStyle w:val="12"/>
      </w:pPr>
      <w:r>
        <w:t xml:space="preserve">Aproximativ 26.4% dinte pacienți au declarat consumul alimente bogate ăn grăsimi mai frecvent de 3 ori / săptămână.</w:t>
      </w:r>
    </w:p>
    <w:p>
      <w:pPr>
        <w:pStyle w:val="12"/>
      </w:pPr>
      <w:r>
        <w:t xml:space="preserve">Doar 10.4% dintre pacienți au declarat că utilizează AINS mai des de 6 ori / lună.</w:t>
      </w:r>
    </w:p>
    <w:p>
      <w:pPr>
        <w:pStyle w:val="12"/>
      </w:pPr>
      <w:r>
        <w:t xml:space="preserve">Aproximativ 91.2%% dinte pacienți au acuzat stres mai crescut în timpul anului universitar.</w:t>
      </w:r>
    </w:p>
    <w:p>
      <w:pPr>
        <w:pStyle w:val="12"/>
      </w:pPr>
      <w:r>
        <w:t xml:space="preserve">Tabel 11: Sumarizarea factorilor de risc.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514"/>
        <w:gridCol w:w="2246"/>
        <w:gridCol w:w="1245"/>
      </w:tblGrid>
      <w:tr>
        <w:trPr>
          <w:cantSplit/>
          <w:trHeight w:val="28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Variabila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Detalii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Total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N=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106</w:t>
            </w: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IMC (kg/m²)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&lt;18,5 (subponderal)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 (9.4%)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18,5-24,9 (normal)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84 (79.2%)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25-30 (supraponderal)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 (9.4%)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&gt;30 (obez)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(1.9%)</w:t>
            </w: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Cafea (cești/zi)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23 (21.7%)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41 (38.7%)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32 (30.2%)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 (8.5%)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&gt;3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(0.9%)</w:t>
            </w: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Alimente bogate în grăsimi ( / săptămână)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 (12.3%)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35 (33.0%)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30 (28.3%)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&gt;3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28 (26.4%)</w:t>
            </w: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Antiinflamatoare non-steroidiene (capsule/ lună)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0-5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86 (89.6%)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6-10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 (10.4%)</w:t>
            </w:r>
          </w:p>
        </w:tc>
      </w:tr>
      <w:tr>
        <w:trPr>
          <w:cantSplit/>
          <w:trHeight w:val="288" w:hRule="auto"/>
        </w:trPr>
        <w:tc>
          <w:tcPr>
            <w:gridSpan w:val="2"/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Stres mai crescut în cursul anului universitar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93 (91.2%)</w:t>
            </w:r>
          </w:p>
        </w:tc>
      </w:tr>
    </w:tbl>
    <w:p>
      <w:pPr>
        <w:pStyle w:val="12"/>
      </w:pPr>
      <w:r>
        <w:t xml:space="preserve">Niciunul dintre factorii de risc de mai sus nu s-a asociat semnificativ statistic cu accentuarea simptomelor la stres, DG de Intestin iritabil sau DG de Dispepsie neinvestigată.</w:t>
      </w:r>
    </w:p>
    <w:p>
      <w:pPr>
        <w:pStyle w:val="12"/>
      </w:pPr>
      <w:r>
        <w:t xml:space="preserve">Tabel 12: Sumarizarea factorilor de risc, în funcție de Accentuarea simptomelor la stres.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514"/>
        <w:gridCol w:w="2246"/>
        <w:gridCol w:w="1245"/>
        <w:gridCol w:w="1245"/>
        <w:gridCol w:w="1245"/>
        <w:gridCol w:w="3158"/>
      </w:tblGrid>
      <w:tr>
        <w:trPr>
          <w:cantSplit/>
          <w:trHeight w:val="28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Variabila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Detalii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nu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Teste statistice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Accentuarea simptomelor la stres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65 (65.7%)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34 (34.3%)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99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IMC (kg/m²)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&lt;18,5 (subponderal)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 (10.8%)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 (8.8%)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 (10.1%)</w:t>
            </w:r>
          </w:p>
        </w:tc>
        <w:tc>
          <w:tcPr>
            <w:vMerge w:val="restart"/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V=0.08 (p=0.884)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18,5-24,9 (normal)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51 (78.5%)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28 (82.4%)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79 (79.8%)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25-30 (supraponderal)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 (9.2%)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(5.9%)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 (8.1%)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&gt;30 (obez)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(1.5%)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(2.9%)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(2.0%)</w:t>
            </w:r>
          </w:p>
        </w:tc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Cafea (cești/zi)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14 (21.5%)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 (20.6%)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21 (21.2%)</w:t>
            </w:r>
          </w:p>
        </w:tc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V=0.10 (p=0.916)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26 (40.0%)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 (38.2%)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39 (39.4%)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19 (29.2%)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 (29.4%)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29 (29.3%)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 (7.7%)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 (11.8%)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 (9.1%)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&gt;3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(1.5%)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(1.0%)</w:t>
            </w:r>
          </w:p>
        </w:tc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Alimente bogate în grăsimi ( / săptămână)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 (7.7%)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 (20.6%)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 (12.1%)</w:t>
            </w:r>
          </w:p>
        </w:tc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V=0.21 (p=0.221)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24 (36.9%)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 (26.5%)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33 (33.3%)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18 (27.7%)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11 (32.4%)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29 (29.3%)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&gt;3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18 (27.7%)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 (20.6%)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25 (25.3%)</w:t>
            </w:r>
          </w:p>
        </w:tc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Antiinflamatoare non-steroidiene (capsule/ lună)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0-5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52 (88.1%)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28 (90.3%)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80 (88.9%)</w:t>
            </w:r>
          </w:p>
        </w:tc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OR=0.80 [0.19, 3.32] (p&gt;0.999)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6-10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 (11.9%)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 (9.7%)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 (11.1%)</w:t>
            </w:r>
          </w:p>
        </w:tc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gridSpan w:val="2"/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Stres mai crescut în cursul anului universitar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62 (95.4%)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28 (82.4%)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90 (90.9%)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OR=4.43 [1.03, 18.99] (p=0.060)</w:t>
            </w:r>
          </w:p>
        </w:tc>
      </w:tr>
      <w:tr>
        <w:trPr>
          <w:cantSplit/>
          <w:trHeight w:val="288" w:hRule="auto"/>
        </w:trPr>
        <w:tc>
          <w:tcPr>
            <w:gridSpan w:val="6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20"/>
                <w:szCs w:val="20"/>
                <w:color w:val="000000"/>
              </w:rPr>
              <w:t xml:space="preserve">OR = odds-ratio [cu IC 95%] și p calculat prin testul Fisher); V = Cramér V (p calculat prin testul Chi²); </w:t>
            </w:r>
          </w:p>
        </w:tc>
      </w:tr>
    </w:tbl>
    <w:p>
      <w:pPr>
        <w:pStyle w:val="12"/>
      </w:pPr>
      <w:r>
        <w:t xml:space="preserve">Tabel 13: Sumarizarea factorilor de risc, în funcție de DG: Intestin iritabil.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514"/>
        <w:gridCol w:w="2246"/>
        <w:gridCol w:w="1245"/>
        <w:gridCol w:w="1245"/>
        <w:gridCol w:w="1245"/>
        <w:gridCol w:w="3158"/>
      </w:tblGrid>
      <w:tr>
        <w:trPr>
          <w:cantSplit/>
          <w:trHeight w:val="28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Variabila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Detalii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nu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Teste statistice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Intestin iritabil (conf. ROMA IV)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14 (13.2%)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92 (86.8%)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106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IMC (kg/m²)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&lt;18,5 (subponderal)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 (10.9%)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 (9.4%)</w:t>
            </w:r>
          </w:p>
        </w:tc>
        <w:tc>
          <w:tcPr>
            <w:vMerge w:val="restart"/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V=0.15 (p=0.510)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18,5-24,9 (normal)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 (85.7%)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72 (78.3%)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84 (79.2%)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25-30 (supraponderal)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(14.3%)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 (8.7%)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 (9.4%)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&gt;30 (obez)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(2.2%)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(1.9%)</w:t>
            </w:r>
          </w:p>
        </w:tc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Cafea (cești/zi)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 (28.6%)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19 (20.7%)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23 (21.7%)</w:t>
            </w:r>
          </w:p>
        </w:tc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V=0.21 (p=0.326)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 (57.1%)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33 (35.9%)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41 (38.7%)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(14.3%)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30 (32.6%)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32 (30.2%)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 (9.8%)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 (8.5%)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&gt;3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(1.1%)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(0.9%)</w:t>
            </w:r>
          </w:p>
        </w:tc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Alimente bogate în grăsimi ( / săptămână)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 (14.1%)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 (12.3%)</w:t>
            </w:r>
          </w:p>
        </w:tc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V=0.23 (p=0.133)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 (35.7%)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30 (32.6%)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35 (33.0%)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 (50.0%)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23 (25.0%)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30 (28.3%)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&gt;3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(14.3%)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26 (28.3%)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28 (26.4%)</w:t>
            </w:r>
          </w:p>
        </w:tc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Antiinflamatoare non-steroidiene (capsule/ lună)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0-5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 (92.3%)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74 (89.2%)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86 (89.6%)</w:t>
            </w:r>
          </w:p>
        </w:tc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OR=1.46 [0.17, 12.58] (p&gt;0.999)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6-10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(7.7%)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 (10.8%)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 (10.4%)</w:t>
            </w:r>
          </w:p>
        </w:tc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gridSpan w:val="2"/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Stres mai crescut în cursul anului universitar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 (92.3%)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81 (91.0%)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93 (91.2%)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OR=1.19 [0.14, 10.33] (p&gt;0.999)</w:t>
            </w:r>
          </w:p>
        </w:tc>
      </w:tr>
      <w:tr>
        <w:trPr>
          <w:cantSplit/>
          <w:trHeight w:val="288" w:hRule="auto"/>
        </w:trPr>
        <w:tc>
          <w:tcPr>
            <w:gridSpan w:val="6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20"/>
                <w:szCs w:val="20"/>
                <w:color w:val="000000"/>
              </w:rPr>
              <w:t xml:space="preserve">OR = odds-ratio [cu IC 95%] și p calculat prin testul Fisher); V = Cramér V (p calculat prin testul Chi²); </w:t>
            </w:r>
          </w:p>
        </w:tc>
      </w:tr>
    </w:tbl>
    <w:p>
      <w:pPr>
        <w:pStyle w:val="12"/>
      </w:pPr>
      <w:r>
        <w:t xml:space="preserve">Tabel 14: Sumarizarea factorilor de risc, în funcție de Dispepsie neinvestigată.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514"/>
        <w:gridCol w:w="2246"/>
        <w:gridCol w:w="1245"/>
        <w:gridCol w:w="1245"/>
        <w:gridCol w:w="1245"/>
        <w:gridCol w:w="3158"/>
      </w:tblGrid>
      <w:tr>
        <w:trPr>
          <w:cantSplit/>
          <w:trHeight w:val="28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Variabila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Detalii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nu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Teste statistice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Dispepsie neinvestigată (conf. ROMA IV)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40 (37.7%)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66 (62.3%)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106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IMC (kg/m²)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&lt;18,5 (subponderal)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(5.0%)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 (12.1%)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 (9.4%)</w:t>
            </w:r>
          </w:p>
        </w:tc>
        <w:tc>
          <w:tcPr>
            <w:vMerge w:val="restart"/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V=0.18 (p=0.351)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18,5-24,9 (normal)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33 (82.5%)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51 (77.3%)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84 (79.2%)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25-30 (supraponderal)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 (12.5%)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 (7.6%)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 (9.4%)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&gt;30 (obez)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(3.0%)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(1.9%)</w:t>
            </w:r>
          </w:p>
        </w:tc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Cafea (cești/zi)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 (20.0%)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15 (22.7%)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23 (21.7%)</w:t>
            </w:r>
          </w:p>
        </w:tc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V=0.16 (p=0.596)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15 (37.5%)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26 (39.4%)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41 (38.7%)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15 (37.5%)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17 (25.8%)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32 (30.2%)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(5.0%)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 (10.6%)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 (8.5%)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&gt;3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(1.5%)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(0.9%)</w:t>
            </w:r>
          </w:p>
        </w:tc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Alimente bogate în grăsimi ( / săptămână)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 (7.5%)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 (15.2%)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 (12.3%)</w:t>
            </w:r>
          </w:p>
        </w:tc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V=0.15 (p=0.506)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 (30.0%)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23 (34.8%)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35 (33.0%)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 (30.0%)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18 (27.3%)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30 (28.3%)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&gt;3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 (32.5%)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15 (22.7%)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28 (26.4%)</w:t>
            </w:r>
          </w:p>
        </w:tc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Antiinflamatoare non-steroidiene (capsule/ lună)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0-5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35 (92.1%)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51 (87.9%)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86 (89.6%)</w:t>
            </w:r>
          </w:p>
        </w:tc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OR=1.60 [0.39, 6.62] (p=0.735)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6-10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 (7.9%)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 (12.1%)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 (10.4%)</w:t>
            </w:r>
          </w:p>
        </w:tc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gridSpan w:val="2"/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Stres mai crescut în cursul anului universitar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37 (97.4%)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56 (87.5%)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93 (91.2%)</w:t>
            </w:r>
          </w:p>
        </w:tc>
        <w:tc>
          <w:tcPr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OR=5.29 [0.63, 44.03] (p=0.148)</w:t>
            </w:r>
          </w:p>
        </w:tc>
      </w:tr>
      <w:tr>
        <w:trPr>
          <w:cantSplit/>
          <w:trHeight w:val="288" w:hRule="auto"/>
        </w:trPr>
        <w:tc>
          <w:tcPr>
            <w:gridSpan w:val="6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20"/>
                <w:szCs w:val="20"/>
                <w:color w:val="000000"/>
              </w:rPr>
              <w:t xml:space="preserve">OR = odds-ratio [cu IC 95%] și p calculat prin testul Fisher); V = Cramér V (p calculat prin testul Chi²); </w:t>
            </w:r>
          </w:p>
        </w:tc>
      </w:tr>
    </w:tbl>
    <w:p>
      <w:pPr>
        <w:pStyle w:val="12"/>
      </w:pPr>
      <w:r>
        <w:drawing>
          <wp:inline>
            <wp:extent cx="4603972" cy="23019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230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03972" cy="23019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2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230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03972" cy="23019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2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230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03972" cy="23019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2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230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r>
        <w:t xml:space="preserve">Figura 12: Distribuția IMC.</w:t>
      </w:r>
    </w:p>
    <w:p>
      <w:pPr>
        <w:pStyle w:val="12"/>
      </w:pPr>
      <w:r>
        <w:drawing>
          <wp:inline>
            <wp:extent cx="4603972" cy="36831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3683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r>
        <w:t xml:space="preserve">Figura 13: Sumarizarea factorilor de risc, în funcție de Accentuarea simptomelor la stres.</w:t>
      </w:r>
    </w:p>
    <w:p>
      <w:pPr>
        <w:pStyle w:val="12"/>
      </w:pPr>
      <w:r>
        <w:drawing>
          <wp:inline>
            <wp:extent cx="4603972" cy="36831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3683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r>
        <w:t xml:space="preserve">Figura 14: Sumarizarea factorilor de risc, în funcție de intestin iritabil.</w:t>
      </w:r>
    </w:p>
    <w:p>
      <w:pPr>
        <w:pStyle w:val="12"/>
      </w:pPr>
      <w:r>
        <w:drawing>
          <wp:inline>
            <wp:extent cx="4603972" cy="36831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3683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r>
        <w:t xml:space="preserve">Figura 15: Sumarizarea factorilor de risc, în funcție de dispepsie neinvestigată.</w:t>
      </w:r>
    </w:p>
    <w:p>
      <w:pPr>
        <w:pStyle w:val="4"/>
      </w:pPr>
      <w:bookmarkStart w:id="51" w:name="alcool"/>
      <w:r>
        <w:t xml:space="preserve">Alcool</w:t>
      </w:r>
      <w:bookmarkEnd w:id="51"/>
    </w:p>
    <w:p>
      <w:pPr>
        <w:pStyle w:val="30"/>
      </w:pPr>
      <w:r>
        <w:t xml:space="preserve">68 pariticipanți (64.2%) au declarat consumul de băuturi alcoolice. În ceea ce privește cantitatea, majoritatea (60.4%) au decratat consumul de 0-50 ml / săptămână. Cei mau mulți participanți au declarat că preferă vinul (56.7%). Consumul de alcool nu s-a asociat semnificativ statisitc cu accentuarea simptomelor la stres, DG de Intestin iritabil sau DG de Dispepsie neinvestigată.</w:t>
      </w:r>
    </w:p>
    <w:p>
      <w:pPr>
        <w:pStyle w:val="12"/>
      </w:pPr>
      <w:r>
        <w:t xml:space="preserve">Tabel 15: Sumarizarea consumului de alcool.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256"/>
        <w:gridCol w:w="1112"/>
        <w:gridCol w:w="1245"/>
      </w:tblGrid>
      <w:tr>
        <w:trPr>
          <w:cantSplit/>
          <w:trHeight w:val="28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Variabila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Detalii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Total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N=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106</w:t>
            </w:r>
          </w:p>
        </w:tc>
      </w:tr>
      <w:tr>
        <w:trPr>
          <w:cantSplit/>
          <w:trHeight w:val="288" w:hRule="auto"/>
        </w:trPr>
        <w:tc>
          <w:tcPr>
            <w:gridSpan w:val="2"/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Alcool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68 (64.2%)</w:t>
            </w: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Alcool (ml/săptămână)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&lt;50 ml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64 (60.4%)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100 ml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21 (19.8%)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200 ml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16 (15.1%)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500 ml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(1.9%)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&gt;500 ml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 (2.8%)</w:t>
            </w: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Alcool (tip)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Bere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22 (32.8%)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38 (56.7%)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Spirtoase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 (10.4%)</w:t>
            </w:r>
          </w:p>
        </w:tc>
      </w:tr>
    </w:tbl>
    <w:p>
      <w:pPr>
        <w:pStyle w:val="12"/>
      </w:pPr>
      <w:r>
        <w:t xml:space="preserve">Tabel 16: Sumarizarea consumului de alcool, în funcție de Accentuarea simptomelor la stres.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235"/>
        <w:gridCol w:w="1112"/>
        <w:gridCol w:w="1245"/>
        <w:gridCol w:w="1245"/>
        <w:gridCol w:w="1245"/>
        <w:gridCol w:w="3046"/>
      </w:tblGrid>
      <w:tr>
        <w:trPr>
          <w:cantSplit/>
          <w:trHeight w:val="28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Variabila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Detalii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nu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Teste statistice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Accentuarea simptomelor la stres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65 (65.7%)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34 (34.3%)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99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</w:tr>
      <w:tr>
        <w:trPr>
          <w:cantSplit/>
          <w:trHeight w:val="288" w:hRule="auto"/>
        </w:trPr>
        <w:tc>
          <w:tcPr>
            <w:gridSpan w:val="2"/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Alcool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41 (63.1%)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22 (64.7%)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63 (63.6%)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OR=0.93 [0.39, 2.21] (p&gt;0.999)</w:t>
            </w: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Alcool (ml/săptămână)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&lt;50 ml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38 (58.5%)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21 (61.8%)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59 (59.6%)</w:t>
            </w:r>
          </w:p>
        </w:tc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V=0.18 (p=0.525)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100 ml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16 (24.6%)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 (14.7%)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21 (21.2%)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200 ml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 (13.8%)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 (17.6%)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15 (15.2%)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500 ml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(1.5%)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(1.0%)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&gt;500 ml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(1.5%)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(5.9%)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 (3.0%)</w:t>
            </w:r>
          </w:p>
        </w:tc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Alcool (tip)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Bere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 (31.7%)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 (31.8%)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20 (31.7%)</w:t>
            </w:r>
          </w:p>
        </w:tc>
        <w:tc>
          <w:tcPr>
            <w:vMerge w:val="restart"/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V=0.17 (p=0.402)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25 (61.0%)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11 (50.0%)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36 (57.1%)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Spirtoase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 (7.3%)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 (18.2%)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 (11.1%)</w:t>
            </w:r>
          </w:p>
        </w:tc>
        <w:tc>
          <w:tcPr>
            <w:vMerge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gridSpan w:val="6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20"/>
                <w:szCs w:val="20"/>
                <w:color w:val="000000"/>
              </w:rPr>
              <w:t xml:space="preserve">OR = odds-ratio [cu IC 95%] și p calculat prin testul Fisher); V = Cramér V (p calculat prin testul Chi²); </w:t>
            </w:r>
          </w:p>
        </w:tc>
      </w:tr>
    </w:tbl>
    <w:p>
      <w:pPr>
        <w:pStyle w:val="12"/>
      </w:pPr>
      <w:r>
        <w:t xml:space="preserve">Tabel 17: Sumarizarea consumului de alcool, în funcție de Intestin iritabil.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012"/>
        <w:gridCol w:w="1112"/>
        <w:gridCol w:w="1245"/>
        <w:gridCol w:w="1245"/>
        <w:gridCol w:w="1245"/>
        <w:gridCol w:w="3158"/>
      </w:tblGrid>
      <w:tr>
        <w:trPr>
          <w:cantSplit/>
          <w:trHeight w:val="28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Variabila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Detalii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nu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Teste statistice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Intestin iritabil (conf. ROMA IV)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14 (13.2%)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92 (86.8%)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106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</w:tr>
      <w:tr>
        <w:trPr>
          <w:cantSplit/>
          <w:trHeight w:val="288" w:hRule="auto"/>
        </w:trPr>
        <w:tc>
          <w:tcPr>
            <w:gridSpan w:val="2"/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Alcool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 (85.7%)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56 (60.9%)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68 (64.2%)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OR=3.86 [0.82, 18.25] (p=0.081)</w:t>
            </w: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Alcool (ml/săptămână)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&lt;50 ml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 (42.9%)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58 (63.0%)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64 (60.4%)</w:t>
            </w:r>
          </w:p>
        </w:tc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V=0.20 (p=0.397)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100 ml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 (35.7%)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16 (17.4%)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21 (19.8%)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200 ml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 (21.4%)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 (14.1%)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16 (15.1%)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500 ml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(1.9%)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&gt;500 ml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 (3.3%)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 (2.8%)</w:t>
            </w:r>
          </w:p>
        </w:tc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Alcool (tip)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Bere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 (25.0%)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19 (34.5%)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22 (32.8%)</w:t>
            </w:r>
          </w:p>
        </w:tc>
        <w:tc>
          <w:tcPr>
            <w:vMerge w:val="restart"/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V=0.09 (p=0.744)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 (66.7%)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30 (54.5%)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38 (56.7%)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Spirtoase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(8.3%)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 (10.9%)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 (10.4%)</w:t>
            </w:r>
          </w:p>
        </w:tc>
        <w:tc>
          <w:tcPr>
            <w:vMerge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gridSpan w:val="6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20"/>
                <w:szCs w:val="20"/>
                <w:color w:val="000000"/>
              </w:rPr>
              <w:t xml:space="preserve">OR = odds-ratio [cu IC 95%] și p calculat prin testul Fisher); V = Cramér V (p calculat prin testul Chi²); </w:t>
            </w:r>
          </w:p>
        </w:tc>
      </w:tr>
    </w:tbl>
    <w:p>
      <w:pPr>
        <w:pStyle w:val="12"/>
      </w:pPr>
      <w:r>
        <w:t xml:space="preserve">Tabel 18: Sumarizarea consumului de alcool, în funcție de Dispepsie neinvestigată.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902"/>
        <w:gridCol w:w="1112"/>
        <w:gridCol w:w="1245"/>
        <w:gridCol w:w="1245"/>
        <w:gridCol w:w="1245"/>
        <w:gridCol w:w="3046"/>
      </w:tblGrid>
      <w:tr>
        <w:trPr>
          <w:cantSplit/>
          <w:trHeight w:val="28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Variabila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Detalii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nu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Teste statistice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Dispepsie neinvestigată (conf. ROMA IV)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40 (37.7%)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66 (62.3%)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106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</w:tr>
      <w:tr>
        <w:trPr>
          <w:cantSplit/>
          <w:trHeight w:val="288" w:hRule="auto"/>
        </w:trPr>
        <w:tc>
          <w:tcPr>
            <w:gridSpan w:val="2"/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Alcool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28 (70.0%)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40 (60.6%)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68 (64.2%)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OR=1.52 [0.66, 3.50] (p=0.405)</w:t>
            </w: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Alcool (ml/săptămână)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&lt;50 ml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24 (60.0%)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40 (60.6%)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64 (60.4%)</w:t>
            </w:r>
          </w:p>
        </w:tc>
        <w:tc>
          <w:tcPr>
            <w:vMerge w:val="restart"/>
            <w:tcBorders>
              <w:bottom w:val="dashed" w:sz="8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V=0.21 (p=0.323)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100 ml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 (22.5%)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 (18.2%)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21 (19.8%)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200 ml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 (10.0%)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 (18.2%)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16 (15.1%)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500 ml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(5.0%)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(1.9%)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&gt;500 ml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(2.5%)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(3.0%)</w:t>
            </w:r>
          </w:p>
        </w:tc>
        <w:tc>
          <w:tcPr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 (2.8%)</w:t>
            </w:r>
          </w:p>
        </w:tc>
        <w:tc>
          <w:tcPr>
            <w:vMerge/>
            <w:tcBorders>
              <w:bottom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Alcool (tip)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Bere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 (25.9%)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15 (37.5%)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22 (32.8%)</w:t>
            </w:r>
          </w:p>
        </w:tc>
        <w:tc>
          <w:tcPr>
            <w:vMerge w:val="restart"/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V=0.17 (p=0.397)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18 (66.7%)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20 (50.0%)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38 (56.7%)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Spirtoase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(7.4%)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 (12.5%)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 (10.4%)</w:t>
            </w:r>
          </w:p>
        </w:tc>
        <w:tc>
          <w:tcPr>
            <w:vMerge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gridSpan w:val="6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20"/>
                <w:szCs w:val="20"/>
                <w:color w:val="000000"/>
              </w:rPr>
              <w:t xml:space="preserve">OR = odds-ratio [cu IC 95%] și p calculat prin testul Fisher); V = Cramér V (p calculat prin testul Chi²); </w:t>
            </w:r>
          </w:p>
        </w:tc>
      </w:tr>
    </w:tbl>
    <w:p>
      <w:pPr>
        <w:pStyle w:val="12"/>
      </w:pPr>
      <w:r>
        <w:drawing>
          <wp:inline>
            <wp:extent cx="4603972" cy="27623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2762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r>
        <w:t xml:space="preserve">Figura 16: Sumarizarea consumului de alcool, în funcție de Accentuarea simptomelor la stres.</w:t>
      </w:r>
    </w:p>
    <w:p>
      <w:pPr>
        <w:pStyle w:val="12"/>
      </w:pPr>
      <w:r>
        <w:drawing>
          <wp:inline>
            <wp:extent cx="4603972" cy="27623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2762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r>
        <w:t xml:space="preserve">Figura 17: Sumarizarea consumului de alcool, în funcție de Intestin iritabil.</w:t>
      </w:r>
    </w:p>
    <w:p>
      <w:pPr>
        <w:pStyle w:val="12"/>
      </w:pPr>
      <w:r>
        <w:drawing>
          <wp:inline>
            <wp:extent cx="4603972" cy="27623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2762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r>
        <w:t xml:space="preserve">Figura 18: Sumarizarea consumului de alcool, în funcție de DG: Dispepsie neinvestigată.</w:t>
      </w:r>
    </w:p>
    <w:p>
      <w:pPr>
        <w:pStyle w:val="4"/>
      </w:pPr>
      <w:bookmarkStart w:id="55" w:name="fumat"/>
      <w:r>
        <w:t xml:space="preserve">Fumat</w:t>
      </w:r>
      <w:bookmarkEnd w:id="55"/>
    </w:p>
    <w:p>
      <w:pPr>
        <w:pStyle w:val="30"/>
      </w:pPr>
      <w:r>
        <w:t xml:space="preserve">34 pariticipanți (32.1%) s-au declarat fumători, dintre care câte 14 pacienți au declarat 1-5 țigări/zi sau 6-10 țigări/zi. Consumul de tutun nu s-a asociat semnificativ statisitc cu accentuarea simptomelor la stres, DG de Intestin iritabil sau DG de Dispepsie neinvestigată.</w:t>
      </w:r>
    </w:p>
    <w:p>
      <w:pPr>
        <w:pStyle w:val="12"/>
      </w:pPr>
      <w:r>
        <w:t xml:space="preserve">Tabel 19: Sumarizarea consumului de tutun.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656"/>
        <w:gridCol w:w="867"/>
        <w:gridCol w:w="1245"/>
      </w:tblGrid>
      <w:tr>
        <w:trPr>
          <w:cantSplit/>
          <w:trHeight w:val="28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Variabila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Detalii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Total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N=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106</w:t>
            </w:r>
          </w:p>
        </w:tc>
      </w:tr>
      <w:tr>
        <w:trPr>
          <w:cantSplit/>
          <w:trHeight w:val="288" w:hRule="auto"/>
        </w:trPr>
        <w:tc>
          <w:tcPr>
            <w:gridSpan w:val="2"/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Fumat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34 (32.1%)</w:t>
            </w: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Fumat (țigări/zi)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70 (66.0%)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1-5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14 (13.2%)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11-15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 (4.7%)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16-20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 (2.8%)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6-10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14 (13.2%)</w:t>
            </w:r>
          </w:p>
        </w:tc>
      </w:tr>
    </w:tbl>
    <w:p>
      <w:pPr>
        <w:pStyle w:val="12"/>
      </w:pPr>
      <w:r>
        <w:t xml:space="preserve">Tabel 20: Sumarizarea consumului de tutun, în funcție de Accentuarea simptomelor la stres.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235"/>
        <w:gridCol w:w="867"/>
        <w:gridCol w:w="1245"/>
        <w:gridCol w:w="1245"/>
        <w:gridCol w:w="1245"/>
        <w:gridCol w:w="3046"/>
      </w:tblGrid>
      <w:tr>
        <w:trPr>
          <w:cantSplit/>
          <w:trHeight w:val="28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Variabila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Detalii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nu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Teste statistice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Accentuarea simptomelor la stres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65 (65.7%)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34 (34.3%)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99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</w:tr>
      <w:tr>
        <w:trPr>
          <w:cantSplit/>
          <w:trHeight w:val="288" w:hRule="auto"/>
        </w:trPr>
        <w:tc>
          <w:tcPr>
            <w:gridSpan w:val="2"/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Fumat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22 (33.8%)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 (29.4%)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32 (32.3%)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OR=1.23 [0.50, 3.02] (p=0.821)</w:t>
            </w: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Fumat (țigări/zi)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42 (64.6%)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23 (67.6%)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65 (65.7%)</w:t>
            </w:r>
          </w:p>
        </w:tc>
        <w:tc>
          <w:tcPr>
            <w:vMerge w:val="restart"/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V=0.27 (p=0.136)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1-5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 (10.8%)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 (20.6%)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14 (14.1%)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11-15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 (6.2%)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 (5.1%)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16-20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(1.5%)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(5.9%)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 (3.0%)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6-10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11 (16.9%)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(2.9%)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 (12.1%)</w:t>
            </w:r>
          </w:p>
        </w:tc>
        <w:tc>
          <w:tcPr>
            <w:vMerge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gridSpan w:val="6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20"/>
                <w:szCs w:val="20"/>
                <w:color w:val="000000"/>
              </w:rPr>
              <w:t xml:space="preserve">OR = odds-ratio [cu IC 95%] și p calculat prin testul Fisher); V = Cramér V (p calculat prin testul Chi²); </w:t>
            </w:r>
          </w:p>
        </w:tc>
      </w:tr>
    </w:tbl>
    <w:p>
      <w:pPr>
        <w:pStyle w:val="12"/>
      </w:pPr>
      <w:r>
        <w:t xml:space="preserve">Tabel 21: Sumarizarea consumului de tutun, în funcție de Intestin iritabil.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012"/>
        <w:gridCol w:w="867"/>
        <w:gridCol w:w="1245"/>
        <w:gridCol w:w="1245"/>
        <w:gridCol w:w="1245"/>
        <w:gridCol w:w="3046"/>
      </w:tblGrid>
      <w:tr>
        <w:trPr>
          <w:cantSplit/>
          <w:trHeight w:val="28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Variabila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Detalii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nu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Teste statistice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Intestin iritabil (conf. ROMA IV)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14 (13.2%)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92 (86.8%)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106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</w:tr>
      <w:tr>
        <w:trPr>
          <w:cantSplit/>
          <w:trHeight w:val="288" w:hRule="auto"/>
        </w:trPr>
        <w:tc>
          <w:tcPr>
            <w:gridSpan w:val="2"/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Fumat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 (42.9%)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28 (30.4%)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34 (32.1%)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OR=1.71 [0.54, 5.40] (p=0.370)</w:t>
            </w: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Fumat (țigări/zi)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 (57.1%)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62 (67.4%)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70 (66.0%)</w:t>
            </w:r>
          </w:p>
        </w:tc>
        <w:tc>
          <w:tcPr>
            <w:vMerge w:val="restart"/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V=0.20 (p=0.366)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1-5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(14.3%)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12 (13.0%)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14 (13.2%)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11-15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 (5.4%)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 (4.7%)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16-20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 (3.3%)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 (2.8%)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6-10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 (28.6%)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 (10.9%)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14 (13.2%)</w:t>
            </w:r>
          </w:p>
        </w:tc>
        <w:tc>
          <w:tcPr>
            <w:vMerge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gridSpan w:val="6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20"/>
                <w:szCs w:val="20"/>
                <w:color w:val="000000"/>
              </w:rPr>
              <w:t xml:space="preserve">OR = odds-ratio [cu IC 95%] și p calculat prin testul Fisher); V = Cramér V (p calculat prin testul Chi²); </w:t>
            </w:r>
          </w:p>
        </w:tc>
      </w:tr>
    </w:tbl>
    <w:p>
      <w:pPr>
        <w:pStyle w:val="12"/>
      </w:pPr>
      <w:r>
        <w:t xml:space="preserve">Tabel 22: Sumarizarea consumului de tutun, în funcție de Dispepsie neinvestigată.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902"/>
        <w:gridCol w:w="867"/>
        <w:gridCol w:w="1245"/>
        <w:gridCol w:w="1245"/>
        <w:gridCol w:w="1245"/>
        <w:gridCol w:w="3046"/>
      </w:tblGrid>
      <w:tr>
        <w:trPr>
          <w:cantSplit/>
          <w:trHeight w:val="28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Variabila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Detalii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nu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Teste statistice</w:t>
            </w:r>
          </w:p>
        </w:tc>
      </w:tr>
      <w:tr>
        <w:trPr>
          <w:cantSplit/>
          <w:trHeight w:val="288" w:hRule="auto"/>
        </w:trPr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Dispepsie neinvestigată (conf. ROMA IV)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40 (37.7%)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66 (62.3%)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>106</w:t>
            </w:r>
          </w:p>
        </w:tc>
        <w:tc>
          <w:tcPr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111111"/>
              </w:rPr>
              <w:t xml:space="preserve"/>
            </w:r>
          </w:p>
        </w:tc>
      </w:tr>
      <w:tr>
        <w:trPr>
          <w:cantSplit/>
          <w:trHeight w:val="288" w:hRule="auto"/>
        </w:trPr>
        <w:tc>
          <w:tcPr>
            <w:gridSpan w:val="2"/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Fumat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15 (37.5%)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19 (28.8%)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34 (32.1%)</w:t>
            </w:r>
          </w:p>
        </w:tc>
        <w:tc>
          <w:tcPr>
            <w:tcBorders>
              <w:bottom w:val="dashed" w:sz="8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OR=1.48 [0.65, 3.41] (p=0.395)</w:t>
            </w:r>
          </w:p>
        </w:tc>
      </w:tr>
      <w:tr>
        <w:trPr>
          <w:cantSplit/>
          <w:trHeight w:val="288" w:hRule="auto"/>
        </w:trPr>
        <w:tc>
          <w:tcPr>
            <w:vMerge w:val="restart"/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Fumat (țigări/zi)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25 (62.5%)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45 (68.2%)</w:t>
            </w:r>
          </w:p>
        </w:tc>
        <w:tc>
          <w:tcPr>
            <w:tcBorders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70 (66.0%)</w:t>
            </w:r>
          </w:p>
        </w:tc>
        <w:tc>
          <w:tcPr>
            <w:vMerge w:val="restart"/>
            <w:tcBorders>
              <w:bottom w:val="single" w:sz="16" w:space="0" w:color="000000"/>
              <w:top w:val="dashed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V=0.17 (p=0.544)</w:t>
            </w: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1-5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 (12.5%)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 (13.6%)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14 (13.2%)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11-15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 (6.1%)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 (4.7%)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16-20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 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 (3.0%)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 (2.8%)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vMerge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6-10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 (20.0%)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 (9.1%)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14 (13.2%)</w:t>
            </w:r>
          </w:p>
        </w:tc>
        <w:tc>
          <w:tcPr>
            <w:vMerge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</w:p>
        </w:tc>
      </w:tr>
      <w:tr>
        <w:trPr>
          <w:cantSplit/>
          <w:trHeight w:val="288" w:hRule="auto"/>
        </w:trPr>
        <w:tc>
          <w:tcPr>
            <w:gridSpan w:val="6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/>
                <w:sz w:val="20"/>
                <w:szCs w:val="20"/>
                <w:color w:val="000000"/>
              </w:rPr>
              <w:t xml:space="preserve">OR = odds-ratio [cu IC 95%] și p calculat prin testul Fisher); V = Cramér V (p calculat prin testul Chi²); </w:t>
            </w:r>
          </w:p>
        </w:tc>
      </w:tr>
    </w:tbl>
    <w:p>
      <w:pPr>
        <w:pStyle w:val="12"/>
      </w:pPr>
      <w:r>
        <w:drawing>
          <wp:inline>
            <wp:extent cx="4603972" cy="27623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2762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r>
        <w:t xml:space="preserve">Figura 19: Sumarizarea consumului de tutun, în funcție de Accentuarea simptomelor la stres.</w:t>
      </w:r>
    </w:p>
    <w:p>
      <w:pPr>
        <w:pStyle w:val="12"/>
      </w:pPr>
      <w:r>
        <w:drawing>
          <wp:inline>
            <wp:extent cx="4603972" cy="27623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2762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r>
        <w:t xml:space="preserve">Figura 20: Sumarizarea consumului de tutun, în funcție de DG: Intestin iritabil.</w:t>
      </w:r>
    </w:p>
    <w:p>
      <w:pPr>
        <w:pStyle w:val="12"/>
      </w:pPr>
      <w:r>
        <w:drawing>
          <wp:inline>
            <wp:extent cx="4603972" cy="27623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rcel_Narita_files/figure-docx/unnamed-chunk-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72" cy="2762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</w:pPr>
      <w:r>
        <w:t xml:space="preserve">Figura 21: Sumarizarea consumului de tutun, în funcție de DG: Dispepsie neinvestigată.</w:t>
      </w:r>
    </w:p>
    <w:p>
      <w:pPr>
        <w:pStyle w:val="2"/>
      </w:pPr>
      <w:bookmarkStart w:id="59" w:name="references"/>
      <w:r>
        <w:t xml:space="preserve">References</w:t>
      </w:r>
      <w:bookmarkEnd w:id="59"/>
    </w:p>
    <w:p>
      <w:pPr>
        <w:numPr>
          <w:ilvl w:val="0"/>
          <w:numId w:val="1001"/>
        </w:numPr>
        <w:pStyle w:val="31"/>
      </w:pPr>
      <w:r>
        <w:t xml:space="preserve">R Core Team (2020). R: A language and environment for statistical computing. R Foundation for Statistical Computing, Vienna, Austria. URL</w:t>
      </w:r>
      <w:r>
        <w:t xml:space="preserve"> </w:t>
      </w:r>
      <w:hyperlink r:id="rId60">
        <w:r>
          <w:rPr>
            <w:rStyle w:val="26"/>
          </w:rPr>
          <w:t xml:space="preserve">https://www.R-project.org/</w:t>
        </w:r>
      </w:hyperlink>
      <w:r>
        <w:t xml:space="preserve">.</w:t>
      </w:r>
    </w:p>
    <w:sectPr>
      <w:headerReference r:id="rId9" w:type="first"/>
      <w:footerReference r:id="rId10" w:type="first"/>
      <w:footerReference r:id="rId11" w:type="default"/>
      <w:pgSz w:w="9979" w:h="14170"/>
      <w:pgMar w:top="1134" w:right="1134" w:bottom="1134" w:left="1418" w:header="720" w:footer="720" w:gutter="0"/>
      <w:cols w:space="720" w:num="1"/>
      <w:titlePg/>
      <w:docGrid w:linePitch="326" w:charSpace="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微软雅黑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黑体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dobe Fan Heiti Std">
    <w:panose1 w:val="020B0700000000000000"/>
    <w:charset w:val="88"/>
    <w:family w:val="auto"/>
    <w:pitch w:val="default"/>
    <w:sig w:usb0="00000001" w:usb1="1A0F1900" w:usb2="00000016" w:usb3="00000000" w:csb0="00120005" w:csb1="00000000"/>
  </w:font>
  <w:font w:name="AkrutiTml1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128040186"/>
      <w:docPartObj>
        <w:docPartGallery w:val="AutoText"/>
      </w:docPartObj>
    </w:sdtPr>
    <w:sdtContent>
      <w:p>
        <w:pPr>
          <w:pStyle w:val="1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4</w:t>
        </w:r>
        <w:r>
          <w:fldChar w:fldCharType="end"/>
        </w:r>
      </w:p>
    </w:sdtContent>
  </w:sdt>
  <w:p>
    <w:pPr>
      <w:pStyle w:val="1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center"/>
    </w:pPr>
    <w:r>
      <w:rPr>
        <w:b/>
      </w:rPr>
      <w:fldChar w:fldCharType="begin"/>
    </w:r>
    <w:r>
      <w:rPr>
        <w:b/>
      </w:rPr>
      <w:instrText xml:space="preserve"> TIME  \@ "yyyy"  \* MERGEFORMAT </w:instrText>
    </w:r>
    <w:r>
      <w:rPr>
        <w:b/>
      </w:rPr>
      <w:fldChar w:fldCharType="separate"/>
    </w:r>
    <w:r>
      <w:rPr>
        <w:b/>
      </w:rPr>
      <w:t>2019</w:t>
    </w:r>
    <w:r>
      <w:rPr>
        <w:b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left" w:pos="5911"/>
      </w:tabs>
      <w:jc w:val="center"/>
      <w:rPr>
        <w:rFonts w:ascii="Arial" w:hAnsi="Arial" w:eastAsia="Arial" w:cs="Arial"/>
        <w:b/>
        <w:color w:val="000000"/>
        <w:sz w:val="28"/>
        <w:szCs w:val="32"/>
        <w:lang w:val="ro-RO"/>
      </w:rPr>
    </w:pPr>
    <w:r>
      <w:rPr>
        <w:rFonts w:ascii="Arial" w:hAnsi="Arial" w:eastAsia="Arial" w:cs="Arial"/>
        <w:b/>
        <w:color w:val="000000"/>
        <w:sz w:val="28"/>
        <w:szCs w:val="32"/>
        <w:lang w:val="ro-RO"/>
      </w:rPr>
      <w:t>Universitatea de Medicină şi Farmacie “Iuliu Haţieganu”</w:t>
    </w:r>
    <w:r>
      <w:rPr>
        <w:rFonts w:ascii="Arial" w:hAnsi="Arial" w:eastAsia="Arial" w:cs="Arial"/>
        <w:b/>
        <w:color w:val="000000"/>
        <w:sz w:val="28"/>
        <w:szCs w:val="32"/>
        <w:lang w:val="ro-RO"/>
      </w:rPr>
      <w:br w:type="textWrapping"/>
    </w:r>
    <w:r>
      <w:rPr>
        <w:rFonts w:ascii="Arial" w:hAnsi="Arial" w:eastAsia="Arial" w:cs="Arial"/>
        <w:b/>
        <w:color w:val="000000"/>
        <w:sz w:val="28"/>
        <w:szCs w:val="32"/>
        <w:lang w:val="ro-RO"/>
      </w:rPr>
      <w:t>Cluj-Napoca</w:t>
    </w:r>
    <w:r>
      <w:rPr>
        <w:rFonts w:ascii="Arial" w:hAnsi="Arial" w:eastAsia="Arial" w:cs="Arial"/>
        <w:b/>
        <w:color w:val="000000"/>
        <w:sz w:val="28"/>
        <w:szCs w:val="32"/>
        <w:lang w:val="ro-RO"/>
      </w:rPr>
      <w:br w:type="textWrapping"/>
    </w:r>
    <w:r>
      <w:rPr>
        <w:rFonts w:ascii="Arial" w:hAnsi="Arial" w:eastAsia="Arial" w:cs="Arial"/>
        <w:b/>
        <w:color w:val="000000"/>
        <w:sz w:val="28"/>
        <w:szCs w:val="32"/>
        <w:lang w:val="ro-RO"/>
      </w:rPr>
      <w:t>Facultatea de Medicină</w:t>
    </w:r>
  </w:p>
  <w:p>
    <w:pPr>
      <w:pStyle w:val="1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82775B"/>
    <w:multiLevelType w:val="multilevel"/>
    <w:tmpl w:val="1482775B"/>
    <w:lvl w:ilvl="0" w:tentative="0">
      <w:start w:val="1"/>
      <w:numFmt w:val="upperRoman"/>
      <w:pStyle w:val="2"/>
      <w:lvlText w:val="%1."/>
      <w:lvlJc w:val="right"/>
      <w:pPr>
        <w:ind w:left="360" w:hanging="360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uiPriority="39" w:semiHidden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9" w:semiHidden="0" w:name="footnote text"/>
    <w:lsdException w:uiPriority="0" w:name="annotation text"/>
    <w:lsdException w:uiPriority="0" w:semiHidden="0" w:name="header"/>
    <w:lsdException w:uiPriority="99" w:semiHidden="0" w:name="footer"/>
    <w:lsdException w:uiPriority="0" w:name="index heading"/>
    <w:lsdException w:qFormat="1" w:uiPriority="35" w:semiHidden="0" w:name="caption"/>
    <w:lsdException w:uiPriority="0" w:name="table of figures"/>
    <w:lsdException w:uiPriority="0" w:name="envelope address"/>
    <w:lsdException w:uiPriority="0" w:name="envelope return"/>
    <w:lsdException w:unhideWhenUsed="0" w:uiPriority="0" w:semiHidden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nhideWhenUsed="0" w:uiPriority="0" w:semiHidden="0" w:name="List Number 2"/>
    <w:lsdException w:uiPriority="0" w:name="List Number 3"/>
    <w:lsdException w:uiPriority="0" w:name="List Number 4"/>
    <w:lsdException w:unhideWhenUsed="0" w:uiPriority="0" w:semiHidden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nhideWhenUsed="0" w:uiPriority="0" w:semiHidden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nhideWhenUsed="0" w:uiPriority="0" w:semiHidden="0" w:name="Body Text Indent 3"/>
    <w:lsdException w:uiPriority="9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39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360" w:lineRule="auto"/>
      <w:jc w:val="both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75"/>
    <w:qFormat/>
    <w:uiPriority w:val="9"/>
    <w:pPr>
      <w:keepNext/>
      <w:keepLines/>
      <w:pageBreakBefore/>
      <w:numPr>
        <w:ilvl w:val="0"/>
        <w:numId w:val="1"/>
      </w:numPr>
      <w:pBdr>
        <w:bottom w:val="single" w:color="585858" w:themeColor="text1" w:themeTint="A6" w:sz="4" w:space="1"/>
      </w:pBdr>
      <w:spacing w:before="360"/>
      <w:outlineLvl w:val="0"/>
    </w:pPr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</w:rPr>
  </w:style>
  <w:style w:type="paragraph" w:styleId="3">
    <w:name w:val="heading 2"/>
    <w:basedOn w:val="1"/>
    <w:next w:val="1"/>
    <w:link w:val="76"/>
    <w:unhideWhenUsed/>
    <w:qFormat/>
    <w:uiPriority w:val="9"/>
    <w:pPr>
      <w:keepNext/>
      <w:keepLines/>
      <w:pageBreakBefore/>
      <w:numPr>
        <w:ilvl w:val="1"/>
        <w:numId w:val="1"/>
      </w:numPr>
      <w:spacing w:before="360" w:after="0"/>
      <w:outlineLvl w:val="1"/>
    </w:pPr>
    <w:rPr>
      <w:rFonts w:ascii="Arial" w:hAnsi="Arial" w:eastAsia="MS Gothic" w:cs="Times New Roman"/>
      <w:b/>
      <w:bCs/>
      <w:smallCaps/>
      <w:color w:val="000000"/>
      <w:sz w:val="28"/>
      <w:szCs w:val="28"/>
      <w:lang w:val="ro-RO"/>
    </w:rPr>
  </w:style>
  <w:style w:type="paragraph" w:styleId="4">
    <w:name w:val="heading 3"/>
    <w:basedOn w:val="1"/>
    <w:next w:val="1"/>
    <w:link w:val="77"/>
    <w:unhideWhenUsed/>
    <w:qFormat/>
    <w:uiPriority w:val="9"/>
    <w:pPr>
      <w:keepNext/>
      <w:keepLines/>
      <w:numPr>
        <w:ilvl w:val="2"/>
        <w:numId w:val="1"/>
      </w:numPr>
      <w:spacing w:before="200" w:after="0"/>
      <w:outlineLvl w:val="2"/>
    </w:pPr>
    <w:rPr>
      <w:rFonts w:ascii="Arial" w:hAnsi="Arial" w:eastAsia="MS Gothic" w:cs="Times New Roman"/>
      <w:b/>
      <w:bCs/>
      <w:color w:val="000000"/>
      <w:lang w:val="ro-RO"/>
    </w:rPr>
  </w:style>
  <w:style w:type="paragraph" w:styleId="5">
    <w:name w:val="heading 4"/>
    <w:basedOn w:val="1"/>
    <w:next w:val="1"/>
    <w:link w:val="78"/>
    <w:unhideWhenUsed/>
    <w:qFormat/>
    <w:uiPriority w:val="9"/>
    <w:pPr>
      <w:keepNext/>
      <w:keepLines/>
      <w:numPr>
        <w:ilvl w:val="3"/>
        <w:numId w:val="1"/>
      </w:numPr>
      <w:spacing w:before="200" w:after="0"/>
      <w:outlineLvl w:val="3"/>
    </w:pPr>
    <w:rPr>
      <w:rFonts w:ascii="Arial" w:hAnsi="Arial" w:eastAsia="MS Gothic" w:cs="Times New Roman"/>
      <w:b/>
      <w:bCs/>
      <w:i/>
      <w:iCs/>
      <w:color w:val="000000"/>
      <w:lang w:val="ro-RO"/>
    </w:rPr>
  </w:style>
  <w:style w:type="paragraph" w:styleId="6">
    <w:name w:val="heading 5"/>
    <w:basedOn w:val="1"/>
    <w:next w:val="1"/>
    <w:link w:val="79"/>
    <w:unhideWhenUsed/>
    <w:qFormat/>
    <w:uiPriority w:val="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hAnsiTheme="majorHAnsi" w:eastAsiaTheme="majorEastAsia" w:cstheme="majorBidi"/>
      <w:color w:val="323E4F" w:themeColor="text2" w:themeShade="BF"/>
    </w:rPr>
  </w:style>
  <w:style w:type="paragraph" w:styleId="7">
    <w:name w:val="heading 6"/>
    <w:basedOn w:val="1"/>
    <w:next w:val="1"/>
    <w:link w:val="80"/>
    <w:unhideWhenUsed/>
    <w:qFormat/>
    <w:uiPriority w:val="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323E4F" w:themeColor="text2" w:themeShade="BF"/>
    </w:rPr>
  </w:style>
  <w:style w:type="paragraph" w:styleId="8">
    <w:name w:val="heading 7"/>
    <w:basedOn w:val="1"/>
    <w:next w:val="1"/>
    <w:link w:val="81"/>
    <w:unhideWhenUsed/>
    <w:qFormat/>
    <w:uiPriority w:val="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3F3F3F" w:themeColor="text1" w:themeTint="BF"/>
    </w:rPr>
  </w:style>
  <w:style w:type="paragraph" w:styleId="9">
    <w:name w:val="heading 8"/>
    <w:basedOn w:val="1"/>
    <w:next w:val="1"/>
    <w:link w:val="82"/>
    <w:unhideWhenUsed/>
    <w:qFormat/>
    <w:uiPriority w:val="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hAnsiTheme="majorHAnsi" w:eastAsiaTheme="majorEastAsia" w:cstheme="majorBidi"/>
      <w:color w:val="3F3F3F" w:themeColor="text1" w:themeTint="BF"/>
      <w:sz w:val="20"/>
      <w:szCs w:val="20"/>
    </w:rPr>
  </w:style>
  <w:style w:type="paragraph" w:styleId="10">
    <w:name w:val="heading 9"/>
    <w:basedOn w:val="1"/>
    <w:next w:val="1"/>
    <w:link w:val="83"/>
    <w:unhideWhenUsed/>
    <w:qFormat/>
    <w:uiPriority w:val="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3F3F3F" w:themeColor="text1" w:themeTint="BF"/>
      <w:sz w:val="20"/>
      <w:szCs w:val="20"/>
    </w:rPr>
  </w:style>
  <w:style w:type="character" w:default="1" w:styleId="22">
    <w:name w:val="Default Paragraph Font"/>
    <w:semiHidden/>
    <w:unhideWhenUsed/>
    <w:uiPriority w:val="1"/>
  </w:style>
  <w:style w:type="table" w:default="1" w:styleId="2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lock Text"/>
    <w:basedOn w:val="12"/>
    <w:next w:val="12"/>
    <w:unhideWhenUsed/>
    <w:uiPriority w:val="9"/>
    <w:pPr>
      <w:spacing w:before="100" w:after="100"/>
    </w:pPr>
    <w:rPr>
      <w:rFonts w:asciiTheme="majorHAnsi" w:hAnsiTheme="majorHAnsi" w:eastAsiaTheme="majorEastAsia" w:cstheme="majorBidi"/>
      <w:bCs/>
      <w:sz w:val="20"/>
      <w:szCs w:val="20"/>
    </w:rPr>
  </w:style>
  <w:style w:type="paragraph" w:styleId="12">
    <w:name w:val="Body Text"/>
    <w:basedOn w:val="1"/>
    <w:link w:val="96"/>
    <w:uiPriority w:val="0"/>
    <w:pPr>
      <w:spacing w:before="180" w:after="180"/>
    </w:pPr>
  </w:style>
  <w:style w:type="paragraph" w:styleId="13">
    <w:name w:val="caption"/>
    <w:basedOn w:val="1"/>
    <w:next w:val="1"/>
    <w:link w:val="25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4">
    <w:name w:val="Date"/>
    <w:next w:val="12"/>
    <w:uiPriority w:val="0"/>
    <w:pPr>
      <w:keepNext/>
      <w:keepLines/>
      <w:spacing w:after="160" w:line="360" w:lineRule="auto"/>
      <w:jc w:val="center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15">
    <w:name w:val="footer"/>
    <w:basedOn w:val="1"/>
    <w:link w:val="9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6">
    <w:name w:val="footnote text"/>
    <w:basedOn w:val="1"/>
    <w:unhideWhenUsed/>
    <w:uiPriority w:val="9"/>
  </w:style>
  <w:style w:type="paragraph" w:styleId="17">
    <w:name w:val="header"/>
    <w:basedOn w:val="1"/>
    <w:link w:val="97"/>
    <w:unhideWhenUsed/>
    <w:uiPriority w:val="0"/>
    <w:pPr>
      <w:tabs>
        <w:tab w:val="center" w:pos="4680"/>
        <w:tab w:val="right" w:pos="9360"/>
      </w:tabs>
      <w:spacing w:after="0" w:line="240" w:lineRule="auto"/>
    </w:pPr>
  </w:style>
  <w:style w:type="paragraph" w:styleId="18">
    <w:name w:val="Subtitle"/>
    <w:basedOn w:val="1"/>
    <w:next w:val="1"/>
    <w:link w:val="85"/>
    <w:qFormat/>
    <w:uiPriority w:val="11"/>
    <w:rPr>
      <w:color w:val="595959" w:themeColor="text1" w:themeTint="A5"/>
      <w:spacing w:val="10"/>
    </w:rPr>
  </w:style>
  <w:style w:type="paragraph" w:styleId="19">
    <w:name w:val="Title"/>
    <w:basedOn w:val="1"/>
    <w:next w:val="1"/>
    <w:link w:val="84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000000" w:themeColor="text1"/>
      <w:sz w:val="56"/>
      <w:szCs w:val="56"/>
    </w:rPr>
  </w:style>
  <w:style w:type="paragraph" w:styleId="20">
    <w:name w:val="toc 1"/>
    <w:basedOn w:val="1"/>
    <w:next w:val="1"/>
    <w:unhideWhenUsed/>
    <w:uiPriority w:val="39"/>
    <w:pPr>
      <w:spacing w:after="100"/>
    </w:pPr>
  </w:style>
  <w:style w:type="paragraph" w:styleId="21">
    <w:name w:val="toc 2"/>
    <w:basedOn w:val="1"/>
    <w:next w:val="1"/>
    <w:unhideWhenUsed/>
    <w:uiPriority w:val="39"/>
    <w:pPr>
      <w:spacing w:after="100"/>
      <w:ind w:left="240"/>
    </w:pPr>
  </w:style>
  <w:style w:type="character" w:styleId="23">
    <w:name w:val="Emphasis"/>
    <w:basedOn w:val="22"/>
    <w:qFormat/>
    <w:uiPriority w:val="20"/>
    <w:rPr>
      <w:i/>
      <w:iCs/>
      <w:color w:val="auto"/>
    </w:rPr>
  </w:style>
  <w:style w:type="character" w:styleId="24">
    <w:name w:val="footnote reference"/>
    <w:basedOn w:val="25"/>
    <w:uiPriority w:val="0"/>
    <w:rPr>
      <w:color w:val="44546A" w:themeColor="text2"/>
      <w:sz w:val="18"/>
      <w:szCs w:val="18"/>
      <w:vertAlign w:val="superscript"/>
    </w:rPr>
  </w:style>
  <w:style w:type="character" w:customStyle="1" w:styleId="25">
    <w:name w:val="Caption Char"/>
    <w:basedOn w:val="22"/>
    <w:link w:val="13"/>
    <w:uiPriority w:val="35"/>
    <w:rPr>
      <w:i/>
      <w:iCs/>
      <w:color w:val="44546A" w:themeColor="text2"/>
      <w:sz w:val="18"/>
      <w:szCs w:val="18"/>
    </w:rPr>
  </w:style>
  <w:style w:type="character" w:styleId="26">
    <w:name w:val="Hyperlink"/>
    <w:basedOn w:val="25"/>
    <w:uiPriority w:val="99"/>
    <w:rPr>
      <w:color w:val="FE3F3F" w:themeColor="accent1"/>
      <w:sz w:val="18"/>
      <w:szCs w:val="18"/>
    </w:rPr>
  </w:style>
  <w:style w:type="character" w:styleId="27">
    <w:name w:val="Strong"/>
    <w:basedOn w:val="22"/>
    <w:qFormat/>
    <w:uiPriority w:val="22"/>
    <w:rPr>
      <w:b/>
      <w:bCs/>
      <w:color w:val="000000" w:themeColor="text1"/>
    </w:rPr>
  </w:style>
  <w:style w:type="table" w:styleId="29">
    <w:name w:val="Table Grid"/>
    <w:basedOn w:val="28"/>
    <w:uiPriority w:val="39"/>
    <w:pPr>
      <w:spacing w:after="0" w:line="240" w:lineRule="auto"/>
    </w:pPr>
    <w:rPr>
      <w:rFonts w:eastAsia="Arial"/>
      <w:lang w:val="ro-RO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30">
    <w:name w:val="First Paragraph"/>
    <w:basedOn w:val="12"/>
    <w:next w:val="12"/>
    <w:uiPriority w:val="0"/>
  </w:style>
  <w:style w:type="paragraph" w:customStyle="1" w:styleId="31">
    <w:name w:val="Compact"/>
    <w:basedOn w:val="12"/>
    <w:uiPriority w:val="0"/>
    <w:pPr>
      <w:spacing w:before="36" w:after="36"/>
      <w:jc w:val="left"/>
    </w:pPr>
  </w:style>
  <w:style w:type="paragraph" w:customStyle="1" w:styleId="32">
    <w:name w:val="Author"/>
    <w:next w:val="12"/>
    <w:uiPriority w:val="0"/>
    <w:pPr>
      <w:keepNext/>
      <w:keepLines/>
      <w:spacing w:after="160" w:line="360" w:lineRule="auto"/>
      <w:jc w:val="center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3">
    <w:name w:val="Abstract"/>
    <w:basedOn w:val="1"/>
    <w:next w:val="12"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34">
    <w:name w:val="Bibliography"/>
    <w:basedOn w:val="1"/>
    <w:uiPriority w:val="0"/>
  </w:style>
  <w:style w:type="paragraph" w:customStyle="1" w:styleId="35">
    <w:name w:val="Definition Term"/>
    <w:basedOn w:val="1"/>
    <w:next w:val="36"/>
    <w:uiPriority w:val="0"/>
    <w:pPr>
      <w:keepNext/>
      <w:keepLines/>
      <w:spacing w:after="0"/>
    </w:pPr>
    <w:rPr>
      <w:b/>
    </w:rPr>
  </w:style>
  <w:style w:type="paragraph" w:customStyle="1" w:styleId="36">
    <w:name w:val="Definition"/>
    <w:basedOn w:val="1"/>
    <w:uiPriority w:val="0"/>
  </w:style>
  <w:style w:type="paragraph" w:customStyle="1" w:styleId="37">
    <w:name w:val="Table Caption"/>
    <w:basedOn w:val="13"/>
    <w:uiPriority w:val="0"/>
    <w:pPr>
      <w:keepNext/>
      <w:spacing w:line="360" w:lineRule="auto"/>
      <w:jc w:val="left"/>
    </w:pPr>
    <w:rPr>
      <w:sz w:val="22"/>
    </w:rPr>
  </w:style>
  <w:style w:type="paragraph" w:customStyle="1" w:styleId="38">
    <w:name w:val="Image Caption"/>
    <w:basedOn w:val="13"/>
    <w:uiPriority w:val="0"/>
    <w:pPr>
      <w:spacing w:line="360" w:lineRule="auto"/>
    </w:pPr>
    <w:rPr>
      <w:sz w:val="22"/>
    </w:rPr>
  </w:style>
  <w:style w:type="paragraph" w:customStyle="1" w:styleId="39">
    <w:name w:val="Figure"/>
    <w:basedOn w:val="1"/>
    <w:uiPriority w:val="0"/>
  </w:style>
  <w:style w:type="paragraph" w:customStyle="1" w:styleId="40">
    <w:name w:val="Figure with Caption"/>
    <w:basedOn w:val="39"/>
    <w:uiPriority w:val="0"/>
    <w:pPr>
      <w:keepNext/>
    </w:pPr>
  </w:style>
  <w:style w:type="character" w:customStyle="1" w:styleId="41">
    <w:name w:val="Verbatim Char"/>
    <w:basedOn w:val="25"/>
    <w:link w:val="42"/>
    <w:uiPriority w:val="0"/>
    <w:rPr>
      <w:rFonts w:ascii="Consolas" w:hAnsi="Consolas"/>
      <w:color w:val="44546A" w:themeColor="text2"/>
      <w:sz w:val="22"/>
      <w:szCs w:val="18"/>
    </w:rPr>
  </w:style>
  <w:style w:type="paragraph" w:customStyle="1" w:styleId="42">
    <w:name w:val="Source Code"/>
    <w:basedOn w:val="1"/>
    <w:link w:val="41"/>
    <w:uiPriority w:val="0"/>
    <w:pPr>
      <w:shd w:val="clear" w:color="auto" w:fill="F8F8F8"/>
      <w:wordWrap w:val="0"/>
    </w:pPr>
  </w:style>
  <w:style w:type="paragraph" w:customStyle="1" w:styleId="43">
    <w:name w:val="TOC Heading"/>
    <w:basedOn w:val="2"/>
    <w:next w:val="1"/>
    <w:unhideWhenUsed/>
    <w:qFormat/>
    <w:uiPriority w:val="39"/>
    <w:pPr>
      <w:outlineLvl w:val="9"/>
    </w:pPr>
  </w:style>
  <w:style w:type="character" w:customStyle="1" w:styleId="44">
    <w:name w:val="KeywordTok"/>
    <w:basedOn w:val="41"/>
    <w:uiPriority w:val="0"/>
    <w:rPr>
      <w:rFonts w:ascii="Consolas" w:hAnsi="Consolas"/>
      <w:b/>
      <w:color w:val="204A87"/>
      <w:sz w:val="22"/>
      <w:szCs w:val="18"/>
      <w:shd w:val="clear" w:color="auto" w:fill="F8F8F8"/>
    </w:rPr>
  </w:style>
  <w:style w:type="character" w:customStyle="1" w:styleId="45">
    <w:name w:val="DataTypeTok"/>
    <w:basedOn w:val="41"/>
    <w:uiPriority w:val="0"/>
    <w:rPr>
      <w:rFonts w:ascii="Consolas" w:hAnsi="Consolas"/>
      <w:color w:val="204A87"/>
      <w:sz w:val="22"/>
      <w:szCs w:val="18"/>
      <w:shd w:val="clear" w:color="auto" w:fill="F8F8F8"/>
    </w:rPr>
  </w:style>
  <w:style w:type="character" w:customStyle="1" w:styleId="46">
    <w:name w:val="DecValTok"/>
    <w:basedOn w:val="41"/>
    <w:uiPriority w:val="0"/>
    <w:rPr>
      <w:rFonts w:ascii="Consolas" w:hAnsi="Consolas"/>
      <w:color w:val="0000CF"/>
      <w:sz w:val="22"/>
      <w:szCs w:val="18"/>
      <w:shd w:val="clear" w:color="auto" w:fill="F8F8F8"/>
    </w:rPr>
  </w:style>
  <w:style w:type="character" w:customStyle="1" w:styleId="47">
    <w:name w:val="BaseNTok"/>
    <w:basedOn w:val="41"/>
    <w:uiPriority w:val="0"/>
    <w:rPr>
      <w:rFonts w:ascii="Consolas" w:hAnsi="Consolas"/>
      <w:color w:val="0000CF"/>
      <w:sz w:val="22"/>
      <w:szCs w:val="18"/>
      <w:shd w:val="clear" w:color="auto" w:fill="F8F8F8"/>
    </w:rPr>
  </w:style>
  <w:style w:type="character" w:customStyle="1" w:styleId="48">
    <w:name w:val="FloatTok"/>
    <w:basedOn w:val="41"/>
    <w:uiPriority w:val="0"/>
    <w:rPr>
      <w:rFonts w:ascii="Consolas" w:hAnsi="Consolas"/>
      <w:color w:val="0000CF"/>
      <w:sz w:val="22"/>
      <w:szCs w:val="18"/>
      <w:shd w:val="clear" w:color="auto" w:fill="F8F8F8"/>
    </w:rPr>
  </w:style>
  <w:style w:type="character" w:customStyle="1" w:styleId="49">
    <w:name w:val="ConstantTok"/>
    <w:basedOn w:val="41"/>
    <w:uiPriority w:val="0"/>
    <w:rPr>
      <w:rFonts w:ascii="Consolas" w:hAnsi="Consolas"/>
      <w:color w:val="000000"/>
      <w:sz w:val="22"/>
      <w:szCs w:val="18"/>
      <w:shd w:val="clear" w:color="auto" w:fill="F8F8F8"/>
    </w:rPr>
  </w:style>
  <w:style w:type="character" w:customStyle="1" w:styleId="50">
    <w:name w:val="CharTok"/>
    <w:basedOn w:val="41"/>
    <w:uiPriority w:val="0"/>
    <w:rPr>
      <w:rFonts w:ascii="Consolas" w:hAnsi="Consolas"/>
      <w:color w:val="4E9A06"/>
      <w:sz w:val="22"/>
      <w:szCs w:val="18"/>
      <w:shd w:val="clear" w:color="auto" w:fill="F8F8F8"/>
    </w:rPr>
  </w:style>
  <w:style w:type="character" w:customStyle="1" w:styleId="51">
    <w:name w:val="SpecialCharTok"/>
    <w:basedOn w:val="41"/>
    <w:uiPriority w:val="0"/>
    <w:rPr>
      <w:rFonts w:ascii="Consolas" w:hAnsi="Consolas"/>
      <w:color w:val="000000"/>
      <w:sz w:val="22"/>
      <w:szCs w:val="18"/>
      <w:shd w:val="clear" w:color="auto" w:fill="F8F8F8"/>
    </w:rPr>
  </w:style>
  <w:style w:type="character" w:customStyle="1" w:styleId="52">
    <w:name w:val="StringTok"/>
    <w:basedOn w:val="41"/>
    <w:uiPriority w:val="0"/>
    <w:rPr>
      <w:rFonts w:ascii="Consolas" w:hAnsi="Consolas"/>
      <w:color w:val="4E9A06"/>
      <w:sz w:val="22"/>
      <w:szCs w:val="18"/>
      <w:shd w:val="clear" w:color="auto" w:fill="F8F8F8"/>
    </w:rPr>
  </w:style>
  <w:style w:type="character" w:customStyle="1" w:styleId="53">
    <w:name w:val="VerbatimStringTok"/>
    <w:basedOn w:val="41"/>
    <w:uiPriority w:val="0"/>
    <w:rPr>
      <w:rFonts w:ascii="Consolas" w:hAnsi="Consolas"/>
      <w:color w:val="4E9A06"/>
      <w:sz w:val="22"/>
      <w:szCs w:val="18"/>
      <w:shd w:val="clear" w:color="auto" w:fill="F8F8F8"/>
    </w:rPr>
  </w:style>
  <w:style w:type="character" w:customStyle="1" w:styleId="54">
    <w:name w:val="SpecialStringTok"/>
    <w:basedOn w:val="41"/>
    <w:uiPriority w:val="0"/>
    <w:rPr>
      <w:rFonts w:ascii="Consolas" w:hAnsi="Consolas"/>
      <w:color w:val="4E9A06"/>
      <w:sz w:val="22"/>
      <w:szCs w:val="18"/>
      <w:shd w:val="clear" w:color="auto" w:fill="F8F8F8"/>
    </w:rPr>
  </w:style>
  <w:style w:type="character" w:customStyle="1" w:styleId="55">
    <w:name w:val="ImportTok"/>
    <w:basedOn w:val="41"/>
    <w:uiPriority w:val="0"/>
    <w:rPr>
      <w:rFonts w:ascii="Consolas" w:hAnsi="Consolas"/>
      <w:color w:val="44546A" w:themeColor="text2"/>
      <w:sz w:val="22"/>
      <w:szCs w:val="18"/>
      <w:shd w:val="clear" w:color="auto" w:fill="F8F8F8"/>
    </w:rPr>
  </w:style>
  <w:style w:type="character" w:customStyle="1" w:styleId="56">
    <w:name w:val="CommentTok"/>
    <w:basedOn w:val="41"/>
    <w:uiPriority w:val="0"/>
    <w:rPr>
      <w:rFonts w:ascii="Consolas" w:hAnsi="Consolas"/>
      <w:i w:val="0"/>
      <w:color w:val="8F5902"/>
      <w:sz w:val="22"/>
      <w:szCs w:val="18"/>
      <w:shd w:val="clear" w:color="auto" w:fill="F8F8F8"/>
    </w:rPr>
  </w:style>
  <w:style w:type="character" w:customStyle="1" w:styleId="57">
    <w:name w:val="DocumentationTok"/>
    <w:basedOn w:val="41"/>
    <w:uiPriority w:val="0"/>
    <w:rPr>
      <w:rFonts w:ascii="Consolas" w:hAnsi="Consolas"/>
      <w:b/>
      <w:i w:val="0"/>
      <w:color w:val="8F5902"/>
      <w:sz w:val="22"/>
      <w:szCs w:val="18"/>
      <w:shd w:val="clear" w:color="auto" w:fill="F8F8F8"/>
    </w:rPr>
  </w:style>
  <w:style w:type="character" w:customStyle="1" w:styleId="58">
    <w:name w:val="AnnotationTok"/>
    <w:basedOn w:val="41"/>
    <w:uiPriority w:val="0"/>
    <w:rPr>
      <w:rFonts w:ascii="Consolas" w:hAnsi="Consolas"/>
      <w:b/>
      <w:i w:val="0"/>
      <w:color w:val="8F5902"/>
      <w:sz w:val="22"/>
      <w:szCs w:val="18"/>
      <w:shd w:val="clear" w:color="auto" w:fill="F8F8F8"/>
    </w:rPr>
  </w:style>
  <w:style w:type="character" w:customStyle="1" w:styleId="59">
    <w:name w:val="CommentVarTok"/>
    <w:basedOn w:val="41"/>
    <w:uiPriority w:val="0"/>
    <w:rPr>
      <w:rFonts w:ascii="Consolas" w:hAnsi="Consolas"/>
      <w:b/>
      <w:i w:val="0"/>
      <w:color w:val="8F5902"/>
      <w:sz w:val="22"/>
      <w:szCs w:val="18"/>
      <w:shd w:val="clear" w:color="auto" w:fill="F8F8F8"/>
    </w:rPr>
  </w:style>
  <w:style w:type="character" w:customStyle="1" w:styleId="60">
    <w:name w:val="OtherTok"/>
    <w:basedOn w:val="41"/>
    <w:uiPriority w:val="0"/>
    <w:rPr>
      <w:rFonts w:ascii="Consolas" w:hAnsi="Consolas"/>
      <w:color w:val="8F5902"/>
      <w:sz w:val="22"/>
      <w:szCs w:val="18"/>
      <w:shd w:val="clear" w:color="auto" w:fill="F8F8F8"/>
    </w:rPr>
  </w:style>
  <w:style w:type="character" w:customStyle="1" w:styleId="61">
    <w:name w:val="FunctionTok"/>
    <w:basedOn w:val="41"/>
    <w:uiPriority w:val="0"/>
    <w:rPr>
      <w:rFonts w:ascii="Consolas" w:hAnsi="Consolas"/>
      <w:color w:val="000000"/>
      <w:sz w:val="22"/>
      <w:szCs w:val="18"/>
      <w:shd w:val="clear" w:color="auto" w:fill="F8F8F8"/>
    </w:rPr>
  </w:style>
  <w:style w:type="character" w:customStyle="1" w:styleId="62">
    <w:name w:val="VariableTok"/>
    <w:basedOn w:val="41"/>
    <w:uiPriority w:val="0"/>
    <w:rPr>
      <w:rFonts w:ascii="Consolas" w:hAnsi="Consolas"/>
      <w:color w:val="000000"/>
      <w:sz w:val="22"/>
      <w:szCs w:val="18"/>
      <w:shd w:val="clear" w:color="auto" w:fill="F8F8F8"/>
    </w:rPr>
  </w:style>
  <w:style w:type="character" w:customStyle="1" w:styleId="63">
    <w:name w:val="ControlFlowTok"/>
    <w:basedOn w:val="41"/>
    <w:uiPriority w:val="0"/>
    <w:rPr>
      <w:rFonts w:ascii="Consolas" w:hAnsi="Consolas"/>
      <w:b/>
      <w:color w:val="204A87"/>
      <w:sz w:val="22"/>
      <w:szCs w:val="18"/>
      <w:shd w:val="clear" w:color="auto" w:fill="F8F8F8"/>
    </w:rPr>
  </w:style>
  <w:style w:type="character" w:customStyle="1" w:styleId="64">
    <w:name w:val="OperatorTok"/>
    <w:basedOn w:val="41"/>
    <w:uiPriority w:val="0"/>
    <w:rPr>
      <w:rFonts w:ascii="Consolas" w:hAnsi="Consolas"/>
      <w:b/>
      <w:color w:val="CE5C00"/>
      <w:sz w:val="22"/>
      <w:szCs w:val="18"/>
      <w:shd w:val="clear" w:color="auto" w:fill="F8F8F8"/>
    </w:rPr>
  </w:style>
  <w:style w:type="character" w:customStyle="1" w:styleId="65">
    <w:name w:val="BuiltInTok"/>
    <w:basedOn w:val="41"/>
    <w:uiPriority w:val="0"/>
    <w:rPr>
      <w:rFonts w:ascii="Consolas" w:hAnsi="Consolas"/>
      <w:color w:val="44546A" w:themeColor="text2"/>
      <w:sz w:val="22"/>
      <w:szCs w:val="18"/>
      <w:shd w:val="clear" w:color="auto" w:fill="F8F8F8"/>
    </w:rPr>
  </w:style>
  <w:style w:type="character" w:customStyle="1" w:styleId="66">
    <w:name w:val="ExtensionTok"/>
    <w:basedOn w:val="41"/>
    <w:uiPriority w:val="0"/>
    <w:rPr>
      <w:rFonts w:ascii="Consolas" w:hAnsi="Consolas"/>
      <w:color w:val="44546A" w:themeColor="text2"/>
      <w:sz w:val="22"/>
      <w:szCs w:val="18"/>
      <w:shd w:val="clear" w:color="auto" w:fill="F8F8F8"/>
    </w:rPr>
  </w:style>
  <w:style w:type="character" w:customStyle="1" w:styleId="67">
    <w:name w:val="PreprocessorTok"/>
    <w:basedOn w:val="41"/>
    <w:uiPriority w:val="0"/>
    <w:rPr>
      <w:rFonts w:ascii="Consolas" w:hAnsi="Consolas"/>
      <w:i w:val="0"/>
      <w:color w:val="8F5902"/>
      <w:sz w:val="22"/>
      <w:szCs w:val="18"/>
      <w:shd w:val="clear" w:color="auto" w:fill="F8F8F8"/>
    </w:rPr>
  </w:style>
  <w:style w:type="character" w:customStyle="1" w:styleId="68">
    <w:name w:val="AttributeTok"/>
    <w:basedOn w:val="41"/>
    <w:uiPriority w:val="0"/>
    <w:rPr>
      <w:rFonts w:ascii="Consolas" w:hAnsi="Consolas"/>
      <w:color w:val="C4A000"/>
      <w:sz w:val="22"/>
      <w:szCs w:val="18"/>
      <w:shd w:val="clear" w:color="auto" w:fill="F8F8F8"/>
    </w:rPr>
  </w:style>
  <w:style w:type="character" w:customStyle="1" w:styleId="69">
    <w:name w:val="RegionMarkerTok"/>
    <w:basedOn w:val="41"/>
    <w:uiPriority w:val="0"/>
    <w:rPr>
      <w:rFonts w:ascii="Consolas" w:hAnsi="Consolas"/>
      <w:color w:val="44546A" w:themeColor="text2"/>
      <w:sz w:val="22"/>
      <w:szCs w:val="18"/>
      <w:shd w:val="clear" w:color="auto" w:fill="F8F8F8"/>
    </w:rPr>
  </w:style>
  <w:style w:type="character" w:customStyle="1" w:styleId="70">
    <w:name w:val="InformationTok"/>
    <w:basedOn w:val="41"/>
    <w:uiPriority w:val="0"/>
    <w:rPr>
      <w:rFonts w:ascii="Consolas" w:hAnsi="Consolas"/>
      <w:b/>
      <w:i w:val="0"/>
      <w:color w:val="8F5902"/>
      <w:sz w:val="22"/>
      <w:szCs w:val="18"/>
      <w:shd w:val="clear" w:color="auto" w:fill="F8F8F8"/>
    </w:rPr>
  </w:style>
  <w:style w:type="character" w:customStyle="1" w:styleId="71">
    <w:name w:val="WarningTok"/>
    <w:basedOn w:val="41"/>
    <w:uiPriority w:val="0"/>
    <w:rPr>
      <w:rFonts w:ascii="Consolas" w:hAnsi="Consolas"/>
      <w:b/>
      <w:i w:val="0"/>
      <w:color w:val="8F5902"/>
      <w:sz w:val="22"/>
      <w:szCs w:val="18"/>
      <w:shd w:val="clear" w:color="auto" w:fill="F8F8F8"/>
    </w:rPr>
  </w:style>
  <w:style w:type="character" w:customStyle="1" w:styleId="72">
    <w:name w:val="AlertTok"/>
    <w:basedOn w:val="41"/>
    <w:uiPriority w:val="0"/>
    <w:rPr>
      <w:rFonts w:ascii="Consolas" w:hAnsi="Consolas"/>
      <w:color w:val="EF2929"/>
      <w:sz w:val="22"/>
      <w:szCs w:val="18"/>
      <w:shd w:val="clear" w:color="auto" w:fill="F8F8F8"/>
    </w:rPr>
  </w:style>
  <w:style w:type="character" w:customStyle="1" w:styleId="73">
    <w:name w:val="ErrorTok"/>
    <w:basedOn w:val="41"/>
    <w:uiPriority w:val="0"/>
    <w:rPr>
      <w:rFonts w:ascii="Consolas" w:hAnsi="Consolas"/>
      <w:b/>
      <w:color w:val="A40000"/>
      <w:sz w:val="22"/>
      <w:szCs w:val="18"/>
      <w:shd w:val="clear" w:color="auto" w:fill="F8F8F8"/>
    </w:rPr>
  </w:style>
  <w:style w:type="character" w:customStyle="1" w:styleId="74">
    <w:name w:val="NormalTok"/>
    <w:basedOn w:val="41"/>
    <w:uiPriority w:val="0"/>
    <w:rPr>
      <w:rFonts w:ascii="Consolas" w:hAnsi="Consolas"/>
      <w:color w:val="44546A" w:themeColor="text2"/>
      <w:sz w:val="22"/>
      <w:szCs w:val="18"/>
      <w:shd w:val="clear" w:color="auto" w:fill="F8F8F8"/>
    </w:rPr>
  </w:style>
  <w:style w:type="character" w:customStyle="1" w:styleId="75">
    <w:name w:val="Heading 1 Char"/>
    <w:basedOn w:val="22"/>
    <w:link w:val="2"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</w:rPr>
  </w:style>
  <w:style w:type="character" w:customStyle="1" w:styleId="76">
    <w:name w:val="Heading 2 Char"/>
    <w:basedOn w:val="22"/>
    <w:link w:val="3"/>
    <w:uiPriority w:val="9"/>
    <w:rPr>
      <w:rFonts w:ascii="Arial" w:hAnsi="Arial" w:eastAsia="MS Gothic" w:cs="Times New Roman"/>
      <w:b/>
      <w:bCs/>
      <w:smallCaps/>
      <w:color w:val="000000"/>
      <w:sz w:val="28"/>
      <w:szCs w:val="28"/>
      <w:lang w:val="ro-RO"/>
    </w:rPr>
  </w:style>
  <w:style w:type="character" w:customStyle="1" w:styleId="77">
    <w:name w:val="Heading 3 Char"/>
    <w:basedOn w:val="22"/>
    <w:link w:val="4"/>
    <w:uiPriority w:val="9"/>
    <w:rPr>
      <w:rFonts w:ascii="Arial" w:hAnsi="Arial" w:eastAsia="MS Gothic" w:cs="Times New Roman"/>
      <w:b/>
      <w:bCs/>
      <w:color w:val="000000"/>
      <w:lang w:val="ro-RO"/>
    </w:rPr>
  </w:style>
  <w:style w:type="character" w:customStyle="1" w:styleId="78">
    <w:name w:val="Heading 4 Char"/>
    <w:basedOn w:val="22"/>
    <w:link w:val="5"/>
    <w:uiPriority w:val="9"/>
    <w:rPr>
      <w:rFonts w:ascii="Arial" w:hAnsi="Arial" w:eastAsia="MS Gothic" w:cs="Times New Roman"/>
      <w:b/>
      <w:bCs/>
      <w:i/>
      <w:iCs/>
      <w:color w:val="000000"/>
      <w:lang w:val="ro-RO"/>
    </w:rPr>
  </w:style>
  <w:style w:type="character" w:customStyle="1" w:styleId="79">
    <w:name w:val="Heading 5 Char"/>
    <w:basedOn w:val="22"/>
    <w:link w:val="6"/>
    <w:uiPriority w:val="9"/>
    <w:rPr>
      <w:rFonts w:asciiTheme="majorHAnsi" w:hAnsiTheme="majorHAnsi" w:eastAsiaTheme="majorEastAsia" w:cstheme="majorBidi"/>
      <w:color w:val="323E4F" w:themeColor="text2" w:themeShade="BF"/>
    </w:rPr>
  </w:style>
  <w:style w:type="character" w:customStyle="1" w:styleId="80">
    <w:name w:val="Heading 6 Char"/>
    <w:basedOn w:val="22"/>
    <w:link w:val="7"/>
    <w:uiPriority w:val="9"/>
    <w:rPr>
      <w:rFonts w:asciiTheme="majorHAnsi" w:hAnsiTheme="majorHAnsi" w:eastAsiaTheme="majorEastAsia" w:cstheme="majorBidi"/>
      <w:i/>
      <w:iCs/>
      <w:color w:val="323E4F" w:themeColor="text2" w:themeShade="BF"/>
    </w:rPr>
  </w:style>
  <w:style w:type="character" w:customStyle="1" w:styleId="81">
    <w:name w:val="Heading 7 Char"/>
    <w:basedOn w:val="22"/>
    <w:link w:val="8"/>
    <w:uiPriority w:val="9"/>
    <w:rPr>
      <w:rFonts w:asciiTheme="majorHAnsi" w:hAnsiTheme="majorHAnsi" w:eastAsiaTheme="majorEastAsia" w:cstheme="majorBidi"/>
      <w:i/>
      <w:iCs/>
      <w:color w:val="3F3F3F" w:themeColor="text1" w:themeTint="BF"/>
    </w:rPr>
  </w:style>
  <w:style w:type="character" w:customStyle="1" w:styleId="82">
    <w:name w:val="Heading 8 Char"/>
    <w:basedOn w:val="22"/>
    <w:link w:val="9"/>
    <w:uiPriority w:val="9"/>
    <w:rPr>
      <w:rFonts w:asciiTheme="majorHAnsi" w:hAnsiTheme="majorHAnsi" w:eastAsiaTheme="majorEastAsia" w:cstheme="majorBidi"/>
      <w:color w:val="3F3F3F" w:themeColor="text1" w:themeTint="BF"/>
      <w:sz w:val="20"/>
      <w:szCs w:val="20"/>
    </w:rPr>
  </w:style>
  <w:style w:type="character" w:customStyle="1" w:styleId="83">
    <w:name w:val="Heading 9 Char"/>
    <w:basedOn w:val="22"/>
    <w:link w:val="10"/>
    <w:uiPriority w:val="9"/>
    <w:rPr>
      <w:rFonts w:asciiTheme="majorHAnsi" w:hAnsiTheme="majorHAnsi" w:eastAsiaTheme="majorEastAsia" w:cstheme="majorBidi"/>
      <w:i/>
      <w:iCs/>
      <w:color w:val="3F3F3F" w:themeColor="text1" w:themeTint="BF"/>
      <w:sz w:val="20"/>
      <w:szCs w:val="20"/>
    </w:rPr>
  </w:style>
  <w:style w:type="character" w:customStyle="1" w:styleId="84">
    <w:name w:val="Title Char"/>
    <w:basedOn w:val="22"/>
    <w:link w:val="19"/>
    <w:uiPriority w:val="10"/>
    <w:rPr>
      <w:rFonts w:asciiTheme="majorHAnsi" w:hAnsiTheme="majorHAnsi" w:eastAsiaTheme="majorEastAsia" w:cstheme="majorBidi"/>
      <w:color w:val="000000" w:themeColor="text1"/>
      <w:sz w:val="56"/>
      <w:szCs w:val="56"/>
    </w:rPr>
  </w:style>
  <w:style w:type="character" w:customStyle="1" w:styleId="85">
    <w:name w:val="Subtitle Char"/>
    <w:basedOn w:val="22"/>
    <w:link w:val="18"/>
    <w:uiPriority w:val="11"/>
    <w:rPr>
      <w:color w:val="595959" w:themeColor="text1" w:themeTint="A5"/>
      <w:spacing w:val="10"/>
    </w:rPr>
  </w:style>
  <w:style w:type="paragraph" w:styleId="86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87">
    <w:name w:val="Quote"/>
    <w:basedOn w:val="1"/>
    <w:next w:val="1"/>
    <w:link w:val="88"/>
    <w:qFormat/>
    <w:uiPriority w:val="29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88">
    <w:name w:val="Quote Char"/>
    <w:basedOn w:val="22"/>
    <w:link w:val="87"/>
    <w:uiPriority w:val="29"/>
    <w:rPr>
      <w:i/>
      <w:iCs/>
      <w:color w:val="000000" w:themeColor="text1"/>
    </w:rPr>
  </w:style>
  <w:style w:type="paragraph" w:styleId="89">
    <w:name w:val="Intense Quote"/>
    <w:basedOn w:val="1"/>
    <w:next w:val="1"/>
    <w:link w:val="90"/>
    <w:qFormat/>
    <w:uiPriority w:val="30"/>
    <w:pPr>
      <w:pBdr>
        <w:top w:val="single" w:color="F1F1F1" w:themeColor="background1" w:themeShade="F2" w:sz="24" w:space="1"/>
        <w:bottom w:val="single" w:color="F1F1F1" w:themeColor="background1" w:themeShade="F2" w:sz="24" w:space="1"/>
      </w:pBdr>
      <w:shd w:val="clear" w:color="auto" w:fill="F1F1F1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90">
    <w:name w:val="Intense Quote Char"/>
    <w:basedOn w:val="22"/>
    <w:link w:val="89"/>
    <w:uiPriority w:val="30"/>
    <w:rPr>
      <w:color w:val="000000" w:themeColor="text1"/>
      <w:shd w:val="clear" w:color="auto" w:fill="F1F1F1" w:themeFill="background1" w:themeFillShade="F2"/>
    </w:rPr>
  </w:style>
  <w:style w:type="character" w:customStyle="1" w:styleId="91">
    <w:name w:val="Subtle Emphasis"/>
    <w:basedOn w:val="22"/>
    <w:qFormat/>
    <w:uiPriority w:val="19"/>
    <w:rPr>
      <w:i/>
      <w:iCs/>
      <w:color w:val="3F3F3F" w:themeColor="text1" w:themeTint="BF"/>
    </w:rPr>
  </w:style>
  <w:style w:type="character" w:customStyle="1" w:styleId="92">
    <w:name w:val="Intense Emphasis"/>
    <w:basedOn w:val="22"/>
    <w:qFormat/>
    <w:uiPriority w:val="21"/>
    <w:rPr>
      <w:b/>
      <w:bCs/>
      <w:i/>
      <w:iCs/>
      <w:caps/>
    </w:rPr>
  </w:style>
  <w:style w:type="character" w:customStyle="1" w:styleId="93">
    <w:name w:val="Subtle Reference"/>
    <w:basedOn w:val="22"/>
    <w:qFormat/>
    <w:uiPriority w:val="31"/>
    <w:rPr>
      <w:smallCaps/>
      <w:color w:val="3F3F3F" w:themeColor="text1" w:themeTint="BF"/>
      <w:u w:val="single" w:color="7E7E7E" w:themeColor="text1" w:themeTint="80"/>
    </w:rPr>
  </w:style>
  <w:style w:type="character" w:customStyle="1" w:styleId="94">
    <w:name w:val="Intense Reference"/>
    <w:basedOn w:val="22"/>
    <w:qFormat/>
    <w:uiPriority w:val="32"/>
    <w:rPr>
      <w:b/>
      <w:bCs/>
      <w:smallCaps/>
      <w:u w:val="single"/>
    </w:rPr>
  </w:style>
  <w:style w:type="character" w:customStyle="1" w:styleId="95">
    <w:name w:val="Book Title"/>
    <w:basedOn w:val="22"/>
    <w:qFormat/>
    <w:uiPriority w:val="33"/>
    <w:rPr>
      <w:smallCaps/>
      <w:spacing w:val="5"/>
    </w:rPr>
  </w:style>
  <w:style w:type="character" w:customStyle="1" w:styleId="96">
    <w:name w:val="Body Text Char"/>
    <w:basedOn w:val="22"/>
    <w:link w:val="12"/>
    <w:uiPriority w:val="0"/>
  </w:style>
  <w:style w:type="character" w:customStyle="1" w:styleId="97">
    <w:name w:val="Header Char"/>
    <w:basedOn w:val="22"/>
    <w:link w:val="17"/>
    <w:uiPriority w:val="0"/>
  </w:style>
  <w:style w:type="character" w:customStyle="1" w:styleId="98">
    <w:name w:val="Footer Char"/>
    <w:basedOn w:val="22"/>
    <w:link w:val="15"/>
    <w:uiPriority w:val="99"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footer" Target="footer2.xml" /><Relationship Id="rId11" Type="http://schemas.openxmlformats.org/officeDocument/2006/relationships/footer" Target="footer1.xml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30" Target="media/rId30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hyperlink" Id="rId20" Target="https://rpubs.com/alex_istrate/n24c9fuoqrgb" TargetMode="External" /><Relationship Type="http://schemas.openxmlformats.org/officeDocument/2006/relationships/hyperlink" Id="rId60" Target="https://www.R-project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" Target="https://rpubs.com/alex_istrate/n24c9fuoqrgb" TargetMode="External" /><Relationship Type="http://schemas.openxmlformats.org/officeDocument/2006/relationships/hyperlink" Id="rId60" Target="https://www.R-project.org/" TargetMode="External" /></Relationships>
</file>

<file path=word/theme/theme1.xml><?xml version="1.0" encoding="utf-8"?>
<a:theme xmlns:a="http://schemas.openxmlformats.org/drawingml/2006/main" name="Office Theme">
  <a:themeElements>
    <a:clrScheme name="Custom 10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E3F3F"/>
      </a:accent1>
      <a:accent2>
        <a:srgbClr val="17B3B7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3637</Words>
  <Characters>20734</Characters>
  <Lines>172</Lines>
  <Paragraphs>48</Paragraphs>
  <TotalTime>3</TotalTime>
  <ScaleCrop>false</ScaleCrop>
  <LinksUpToDate>false</LinksUpToDate>
  <CharactersWithSpaces>24323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Lucrare de licență</dc:title>
  <dc:creator>Marcel Narita</dc:creator>
  <cp:keywords/>
  <dcterms:created xsi:type="dcterms:W3CDTF">2020-02-29T11:08:44Z</dcterms:created>
  <dcterms:modified xsi:type="dcterms:W3CDTF">2020-02-29T11:08:44Z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  <property fmtid="{D5CDD505-2E9C-101B-9397-08002B2CF9AE}" pid="3" name="subtitle">
    <vt:lpwstr>Lucrare de licență</vt:lpwstr>
  </property>
</Properties>
</file>