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Arial" w:hAnsi="Arial" w:cs="Arial"/>
          <w:b w:val="0"/>
          <w:bCs w:val="0"/>
          <w:lang w:val="en" w:eastAsia="zh-CN"/>
        </w:rPr>
      </w:pPr>
      <w:r>
        <w:rPr>
          <w:rFonts w:hint="default" w:ascii="Arial" w:hAnsi="Arial" w:cs="Arial"/>
          <w:b/>
          <w:bCs/>
          <w:lang w:val="en" w:eastAsia="zh-CN"/>
        </w:rPr>
        <w:t>Partea din material și metode:</w:t>
      </w:r>
    </w:p>
    <w:p>
      <w:pPr>
        <w:bidi w:val="0"/>
        <w:rPr>
          <w:rFonts w:hint="default" w:ascii="Arial" w:hAnsi="Arial" w:cs="Arial"/>
          <w:b w:val="0"/>
          <w:bCs w:val="0"/>
          <w:lang w:val="en" w:eastAsia="zh-CN"/>
        </w:rPr>
      </w:pPr>
      <w:r>
        <w:rPr>
          <w:rFonts w:hint="default" w:ascii="Arial" w:hAnsi="Arial" w:cs="Arial"/>
          <w:b w:val="0"/>
          <w:bCs w:val="0"/>
          <w:lang w:val="en" w:eastAsia="zh-CN"/>
        </w:rPr>
        <w:t>Am utilizat câte 2 modele logistice pentru a estima OR pentru diagnosticele de Dispepsie neinvestigată și Intestin iritabil (conform criteriilor ROMA IV), pe baza unei selecții de factori de risc. Modele binare au tratat consumul de alcool și de tutun declarat cu ‘da’ sau ‘nu’, iar modele cantitative au tratat consumul de alcool și de tutun în mod cantitativ (codate cu numere întregi consecutive pornind de la 0 - nu consumă).</w:t>
      </w:r>
    </w:p>
    <w:p>
      <w:pPr>
        <w:bidi w:val="0"/>
        <w:rPr>
          <w:rFonts w:hint="default" w:ascii="Arial" w:hAnsi="Arial" w:cs="Arial"/>
          <w:b w:val="0"/>
          <w:bCs w:val="0"/>
          <w:lang w:val="en" w:eastAsia="zh-CN"/>
        </w:rPr>
      </w:pPr>
    </w:p>
    <w:p>
      <w:pPr>
        <w:bidi w:val="0"/>
        <w:rPr>
          <w:rFonts w:hint="default" w:ascii="Arial" w:hAnsi="Arial" w:cs="Arial"/>
          <w:b/>
          <w:bCs/>
          <w:lang w:val="en" w:eastAsia="zh-CN"/>
        </w:rPr>
      </w:pPr>
      <w:r>
        <w:rPr>
          <w:rFonts w:hint="default" w:ascii="Arial" w:hAnsi="Arial" w:cs="Arial"/>
          <w:b/>
          <w:bCs/>
          <w:lang w:val="en" w:eastAsia="zh-CN"/>
        </w:rPr>
        <w:t>Partea din rezultate:</w:t>
      </w:r>
    </w:p>
    <w:p>
      <w:pPr>
        <w:bidi w:val="0"/>
        <w:rPr>
          <w:rFonts w:hint="default" w:ascii="Arial" w:hAnsi="Arial" w:cs="Arial"/>
          <w:b w:val="0"/>
          <w:bCs w:val="0"/>
          <w:lang w:val="en" w:eastAsia="zh-CN"/>
        </w:rPr>
      </w:pPr>
      <w:r>
        <w:rPr>
          <w:rFonts w:hint="default" w:ascii="Arial" w:hAnsi="Arial" w:cs="Arial"/>
          <w:b w:val="0"/>
          <w:bCs w:val="0"/>
          <w:lang w:val="en" w:eastAsia="zh-CN"/>
        </w:rPr>
        <w:t xml:space="preserve">În urma analizei multivariate am confirmat asocierea dintre probabilitatea semnificativ mai mare (model binar: OR=8.19, p&lt;0.001; model cantitativ: OR=7.45, </w:t>
      </w:r>
      <w:bookmarkStart w:id="0" w:name="_GoBack"/>
      <w:bookmarkEnd w:id="0"/>
      <w:r>
        <w:rPr>
          <w:rFonts w:hint="default" w:ascii="Arial" w:hAnsi="Arial" w:cs="Arial"/>
          <w:b w:val="0"/>
          <w:bCs w:val="0"/>
          <w:lang w:val="en" w:eastAsia="zh-CN"/>
        </w:rPr>
        <w:t>p=0.001) a unui diagnostic de dispepsie neinvestigată (conf. ROMA IV) și a</w:t>
      </w:r>
      <w:r>
        <w:rPr>
          <w:rFonts w:hint="default" w:ascii="Arial" w:hAnsi="Arial" w:eastAsia="宋体" w:cs="Arial"/>
          <w:kern w:val="0"/>
          <w:sz w:val="20"/>
          <w:szCs w:val="20"/>
          <w:lang w:val="en-US" w:eastAsia="zh-CN" w:bidi="ar"/>
        </w:rPr>
        <w:t>ccentuarea simptomelor</w:t>
      </w:r>
      <w:r>
        <w:rPr>
          <w:rFonts w:hint="default" w:ascii="Arial" w:hAnsi="Arial" w:eastAsia="宋体" w:cs="Arial"/>
          <w:kern w:val="0"/>
          <w:sz w:val="20"/>
          <w:szCs w:val="20"/>
          <w:lang w:val="en" w:eastAsia="zh-CN" w:bidi="ar"/>
        </w:rPr>
        <w:t xml:space="preserve"> </w:t>
      </w:r>
      <w:r>
        <w:rPr>
          <w:rFonts w:hint="default" w:ascii="Arial" w:hAnsi="Arial" w:eastAsia="宋体" w:cs="Arial"/>
          <w:kern w:val="0"/>
          <w:sz w:val="20"/>
          <w:szCs w:val="20"/>
          <w:lang w:val="en-US" w:eastAsia="zh-CN" w:bidi="ar"/>
        </w:rPr>
        <w:t>la stres</w:t>
      </w:r>
      <w:r>
        <w:rPr>
          <w:rFonts w:hint="default" w:ascii="Arial" w:hAnsi="Arial" w:eastAsia="宋体" w:cs="Arial"/>
          <w:kern w:val="0"/>
          <w:sz w:val="20"/>
          <w:szCs w:val="20"/>
          <w:lang w:val="en" w:eastAsia="zh-CN" w:bidi="ar"/>
        </w:rPr>
        <w:t>, ajustând pentru restul factorilor de risc. Niciunul dintre aceștia nu s-a asociat semnificativ statistic cu dispepsia neinvestigată.</w:t>
      </w:r>
    </w:p>
    <w:p>
      <w:pPr>
        <w:bidi w:val="0"/>
        <w:rPr>
          <w:rFonts w:hint="default" w:ascii="Arial" w:hAnsi="Arial" w:cs="Arial"/>
          <w:b w:val="0"/>
          <w:bCs w:val="0"/>
          <w:lang w:val="en" w:eastAsia="zh-CN"/>
        </w:rPr>
      </w:pPr>
    </w:p>
    <w:p>
      <w:pPr>
        <w:bidi w:val="0"/>
        <w:rPr>
          <w:rFonts w:hint="default" w:ascii="Arial" w:hAnsi="Arial" w:eastAsia="宋体" w:cs="Arial"/>
          <w:b/>
          <w:i w:val="0"/>
          <w:kern w:val="0"/>
          <w:sz w:val="20"/>
          <w:szCs w:val="20"/>
          <w:bdr w:val="none" w:color="auto" w:sz="0" w:space="0"/>
          <w:lang w:val="en-US" w:eastAsia="zh-CN" w:bidi="ar"/>
        </w:rPr>
      </w:pPr>
      <w:r>
        <w:rPr>
          <w:rFonts w:hint="default" w:ascii="Arial" w:hAnsi="Arial" w:cs="Arial"/>
          <w:b w:val="0"/>
          <w:bCs w:val="0"/>
          <w:lang w:val="en" w:eastAsia="zh-CN"/>
        </w:rPr>
        <w:t>Tabel 1: Rezultatele regresiilor logistice pentru diagnosticul de dispepsie. Tabelul include OR (cu IC95%) și valoarea p, pentru modelele binar și cantitativ. Cele 2 modele au avut performațe aproximativ similare conform coeficienților R</w:t>
      </w:r>
      <w:r>
        <w:rPr>
          <w:rFonts w:hint="default" w:ascii="Arial" w:hAnsi="Arial" w:cs="Arial"/>
          <w:b w:val="0"/>
          <w:bCs w:val="0"/>
          <w:vertAlign w:val="superscript"/>
          <w:lang w:val="en" w:eastAsia="zh-CN"/>
        </w:rPr>
        <w:t>2</w:t>
      </w:r>
      <w:r>
        <w:rPr>
          <w:rFonts w:hint="default" w:ascii="Arial" w:hAnsi="Arial" w:cs="Arial"/>
          <w:b w:val="0"/>
          <w:bCs w:val="0"/>
          <w:lang w:val="en" w:eastAsia="zh-CN"/>
        </w:rPr>
        <w:t>.</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14"/>
        <w:gridCol w:w="1581"/>
        <w:gridCol w:w="802"/>
        <w:gridCol w:w="1580"/>
        <w:gridCol w:w="6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tcBorders>
              <w:top w:val="double" w:color="auto" w:sz="2"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b/>
                <w:i w:val="0"/>
                <w:sz w:val="20"/>
                <w:szCs w:val="20"/>
                <w:lang w:val="en"/>
              </w:rPr>
            </w:pPr>
            <w:r>
              <w:rPr>
                <w:rFonts w:hint="default" w:ascii="Arial" w:hAnsi="Arial" w:eastAsia="宋体" w:cs="Arial"/>
                <w:b/>
                <w:i w:val="0"/>
                <w:kern w:val="0"/>
                <w:sz w:val="20"/>
                <w:szCs w:val="20"/>
                <w:bdr w:val="none" w:color="auto" w:sz="0" w:space="0"/>
                <w:lang w:val="en-US" w:eastAsia="zh-CN" w:bidi="ar"/>
              </w:rPr>
              <w:t> </w:t>
            </w:r>
            <w:r>
              <w:rPr>
                <w:rFonts w:hint="default" w:ascii="Arial" w:hAnsi="Arial" w:eastAsia="宋体" w:cs="Arial"/>
                <w:b/>
                <w:i w:val="0"/>
                <w:kern w:val="0"/>
                <w:sz w:val="20"/>
                <w:szCs w:val="20"/>
                <w:lang w:val="en-US" w:eastAsia="zh-CN" w:bidi="ar"/>
              </w:rPr>
              <w:t>Dispepsie neinvestigată</w:t>
            </w:r>
            <w:r>
              <w:rPr>
                <w:rFonts w:hint="default" w:ascii="Arial" w:hAnsi="Arial" w:eastAsia="宋体" w:cs="Arial"/>
                <w:b/>
                <w:i w:val="0"/>
                <w:kern w:val="0"/>
                <w:sz w:val="20"/>
                <w:szCs w:val="20"/>
                <w:lang w:val="en" w:eastAsia="zh-CN" w:bidi="ar"/>
              </w:rPr>
              <w:t>:</w:t>
            </w:r>
          </w:p>
        </w:tc>
        <w:tc>
          <w:tcPr>
            <w:tcW w:w="2383" w:type="dxa"/>
            <w:gridSpan w:val="2"/>
            <w:tcBorders>
              <w:top w:val="double" w:color="auto" w:sz="2"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b/>
                <w:i w:val="0"/>
                <w:sz w:val="20"/>
                <w:szCs w:val="20"/>
                <w:lang w:val="en"/>
              </w:rPr>
            </w:pPr>
            <w:r>
              <w:rPr>
                <w:rFonts w:hint="default" w:ascii="Arial" w:hAnsi="Arial" w:eastAsia="宋体" w:cs="Arial"/>
                <w:b/>
                <w:i w:val="0"/>
                <w:kern w:val="0"/>
                <w:sz w:val="20"/>
                <w:szCs w:val="20"/>
                <w:bdr w:val="none" w:color="auto" w:sz="0" w:space="0"/>
                <w:lang w:val="en" w:eastAsia="zh-CN" w:bidi="ar"/>
              </w:rPr>
              <w:t>Model binar</w:t>
            </w:r>
          </w:p>
        </w:tc>
        <w:tc>
          <w:tcPr>
            <w:tcW w:w="2239" w:type="dxa"/>
            <w:gridSpan w:val="2"/>
            <w:tcBorders>
              <w:top w:val="double" w:color="auto" w:sz="2"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b/>
                <w:i w:val="0"/>
                <w:sz w:val="20"/>
                <w:szCs w:val="20"/>
                <w:lang w:val="en"/>
              </w:rPr>
            </w:pPr>
            <w:r>
              <w:rPr>
                <w:rFonts w:hint="default" w:ascii="Arial" w:hAnsi="Arial" w:eastAsia="宋体" w:cs="Arial"/>
                <w:b/>
                <w:i w:val="0"/>
                <w:kern w:val="0"/>
                <w:sz w:val="20"/>
                <w:szCs w:val="20"/>
                <w:bdr w:val="none" w:color="auto" w:sz="0" w:space="0"/>
                <w:lang w:val="en" w:eastAsia="zh-CN" w:bidi="ar"/>
              </w:rPr>
              <w:t>Model cantitativ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b w:val="0"/>
                <w:i/>
                <w:sz w:val="20"/>
                <w:szCs w:val="20"/>
                <w:lang w:val="en"/>
              </w:rPr>
            </w:pPr>
            <w:r>
              <w:rPr>
                <w:rFonts w:hint="default" w:ascii="Arial" w:hAnsi="Arial" w:eastAsia="宋体" w:cs="Arial"/>
                <w:b w:val="0"/>
                <w:i/>
                <w:kern w:val="0"/>
                <w:sz w:val="20"/>
                <w:szCs w:val="20"/>
                <w:lang w:val="en-US" w:eastAsia="zh-CN" w:bidi="ar"/>
              </w:rPr>
              <w:t>Predictor</w:t>
            </w:r>
            <w:r>
              <w:rPr>
                <w:rFonts w:hint="default" w:ascii="Arial" w:hAnsi="Arial" w:eastAsia="宋体" w:cs="Arial"/>
                <w:b w:val="0"/>
                <w:i/>
                <w:kern w:val="0"/>
                <w:sz w:val="20"/>
                <w:szCs w:val="20"/>
                <w:lang w:val="en" w:eastAsia="zh-CN" w:bidi="ar"/>
              </w:rPr>
              <w:t>i</w:t>
            </w:r>
          </w:p>
        </w:tc>
        <w:tc>
          <w:tcPr>
            <w:tcW w:w="1581"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b w:val="0"/>
                <w:i/>
                <w:sz w:val="20"/>
                <w:szCs w:val="20"/>
              </w:rPr>
            </w:pPr>
            <w:r>
              <w:rPr>
                <w:rFonts w:hint="default" w:ascii="Arial" w:hAnsi="Arial" w:eastAsia="宋体" w:cs="Arial"/>
                <w:b w:val="0"/>
                <w:i/>
                <w:kern w:val="0"/>
                <w:sz w:val="20"/>
                <w:szCs w:val="20"/>
                <w:lang w:val="en-US" w:eastAsia="zh-CN" w:bidi="ar"/>
              </w:rPr>
              <w:t>Odds Ratio</w:t>
            </w:r>
          </w:p>
        </w:tc>
        <w:tc>
          <w:tcPr>
            <w:tcW w:w="802"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rPr>
                <w:rFonts w:hint="default" w:ascii="Arial" w:hAnsi="Arial" w:cs="Arial"/>
                <w:b w:val="0"/>
                <w:i/>
                <w:sz w:val="20"/>
                <w:szCs w:val="20"/>
              </w:rPr>
            </w:pPr>
            <w:r>
              <w:rPr>
                <w:rFonts w:hint="default" w:ascii="Arial" w:hAnsi="Arial" w:eastAsia="宋体" w:cs="Arial"/>
                <w:b w:val="0"/>
                <w:i/>
                <w:kern w:val="0"/>
                <w:sz w:val="20"/>
                <w:szCs w:val="20"/>
                <w:lang w:val="en-US" w:eastAsia="zh-CN" w:bidi="ar"/>
              </w:rPr>
              <w:t>p</w:t>
            </w:r>
          </w:p>
        </w:tc>
        <w:tc>
          <w:tcPr>
            <w:tcW w:w="1580"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b w:val="0"/>
                <w:i/>
                <w:sz w:val="20"/>
                <w:szCs w:val="20"/>
              </w:rPr>
            </w:pPr>
            <w:r>
              <w:rPr>
                <w:rFonts w:hint="default" w:ascii="Arial" w:hAnsi="Arial" w:eastAsia="宋体" w:cs="Arial"/>
                <w:b w:val="0"/>
                <w:i/>
                <w:kern w:val="0"/>
                <w:sz w:val="20"/>
                <w:szCs w:val="20"/>
                <w:lang w:val="en-US" w:eastAsia="zh-CN" w:bidi="ar"/>
              </w:rPr>
              <w:t>Odds Ratio</w:t>
            </w:r>
          </w:p>
        </w:tc>
        <w:tc>
          <w:tcPr>
            <w:tcW w:w="659"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rPr>
                <w:rFonts w:hint="default" w:ascii="Arial" w:hAnsi="Arial" w:cs="Arial"/>
                <w:b w:val="0"/>
                <w:i/>
                <w:sz w:val="20"/>
                <w:szCs w:val="20"/>
              </w:rPr>
            </w:pPr>
            <w:r>
              <w:rPr>
                <w:rFonts w:hint="default" w:ascii="Arial" w:hAnsi="Arial" w:eastAsia="宋体" w:cs="Arial"/>
                <w:b w:val="0"/>
                <w:i/>
                <w:kern w:val="0"/>
                <w:sz w:val="20"/>
                <w:szCs w:val="20"/>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tcBorders>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i/>
                <w:iCs/>
                <w:sz w:val="20"/>
                <w:szCs w:val="20"/>
              </w:rPr>
            </w:pPr>
            <w:r>
              <w:rPr>
                <w:rFonts w:hint="default" w:ascii="Arial" w:hAnsi="Arial" w:eastAsia="宋体" w:cs="Arial"/>
                <w:i/>
                <w:iCs/>
                <w:kern w:val="0"/>
                <w:sz w:val="20"/>
                <w:szCs w:val="20"/>
                <w:bdr w:val="none" w:color="auto" w:sz="0" w:space="0"/>
                <w:lang w:val="en-US" w:eastAsia="zh-CN" w:bidi="ar"/>
              </w:rPr>
              <w:t>(Intercept)</w:t>
            </w:r>
          </w:p>
        </w:tc>
        <w:tc>
          <w:tcPr>
            <w:tcW w:w="1581" w:type="dxa"/>
            <w:tcBorders>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i/>
                <w:iCs/>
                <w:sz w:val="20"/>
                <w:szCs w:val="20"/>
              </w:rPr>
            </w:pPr>
            <w:r>
              <w:rPr>
                <w:rFonts w:hint="default" w:ascii="Arial" w:hAnsi="Arial" w:eastAsia="宋体" w:cs="Arial"/>
                <w:i/>
                <w:iCs/>
                <w:kern w:val="0"/>
                <w:sz w:val="20"/>
                <w:szCs w:val="20"/>
                <w:bdr w:val="none" w:color="auto" w:sz="0" w:space="0"/>
                <w:lang w:val="en-US" w:eastAsia="zh-CN" w:bidi="ar"/>
              </w:rPr>
              <w:t>0.06</w:t>
            </w:r>
            <w:r>
              <w:rPr>
                <w:rFonts w:hint="default" w:ascii="Arial" w:hAnsi="Arial" w:eastAsia="宋体" w:cs="Arial"/>
                <w:i/>
                <w:iCs/>
                <w:kern w:val="0"/>
                <w:sz w:val="20"/>
                <w:szCs w:val="20"/>
                <w:bdr w:val="none" w:color="auto" w:sz="0" w:space="0"/>
                <w:lang w:val="en-US" w:eastAsia="zh-CN" w:bidi="ar"/>
              </w:rPr>
              <w:br w:type="textWrapping"/>
            </w:r>
            <w:r>
              <w:rPr>
                <w:rFonts w:hint="default" w:ascii="Arial" w:hAnsi="Arial" w:eastAsia="宋体" w:cs="Arial"/>
                <w:i/>
                <w:iCs/>
                <w:kern w:val="0"/>
                <w:sz w:val="20"/>
                <w:szCs w:val="20"/>
                <w:bdr w:val="none" w:color="auto" w:sz="0" w:space="0"/>
                <w:lang w:val="en-US" w:eastAsia="zh-CN" w:bidi="ar"/>
              </w:rPr>
              <w:t>(0.01 – 0.50)</w:t>
            </w:r>
          </w:p>
        </w:tc>
        <w:tc>
          <w:tcPr>
            <w:tcW w:w="802" w:type="dxa"/>
            <w:tcBorders>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i/>
                <w:iCs/>
                <w:sz w:val="20"/>
                <w:szCs w:val="20"/>
              </w:rPr>
            </w:pPr>
            <w:r>
              <w:rPr>
                <w:rStyle w:val="5"/>
                <w:rFonts w:hint="default" w:ascii="Arial" w:hAnsi="Arial" w:eastAsia="宋体" w:cs="Arial"/>
                <w:i/>
                <w:iCs/>
                <w:kern w:val="0"/>
                <w:sz w:val="20"/>
                <w:szCs w:val="20"/>
                <w:bdr w:val="none" w:color="auto" w:sz="0" w:space="0"/>
                <w:lang w:val="en-US" w:eastAsia="zh-CN" w:bidi="ar"/>
              </w:rPr>
              <w:t>0.013</w:t>
            </w:r>
          </w:p>
        </w:tc>
        <w:tc>
          <w:tcPr>
            <w:tcW w:w="1580" w:type="dxa"/>
            <w:tcBorders>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i/>
                <w:iCs/>
                <w:sz w:val="20"/>
                <w:szCs w:val="20"/>
              </w:rPr>
            </w:pPr>
            <w:r>
              <w:rPr>
                <w:rFonts w:hint="default" w:ascii="Arial" w:hAnsi="Arial" w:eastAsia="宋体" w:cs="Arial"/>
                <w:i/>
                <w:iCs/>
                <w:kern w:val="0"/>
                <w:sz w:val="20"/>
                <w:szCs w:val="20"/>
                <w:bdr w:val="none" w:color="auto" w:sz="0" w:space="0"/>
                <w:lang w:val="en-US" w:eastAsia="zh-CN" w:bidi="ar"/>
              </w:rPr>
              <w:t>0.07</w:t>
            </w:r>
            <w:r>
              <w:rPr>
                <w:rFonts w:hint="default" w:ascii="Arial" w:hAnsi="Arial" w:eastAsia="宋体" w:cs="Arial"/>
                <w:i/>
                <w:iCs/>
                <w:kern w:val="0"/>
                <w:sz w:val="20"/>
                <w:szCs w:val="20"/>
                <w:bdr w:val="none" w:color="auto" w:sz="0" w:space="0"/>
                <w:lang w:val="en-US" w:eastAsia="zh-CN" w:bidi="ar"/>
              </w:rPr>
              <w:br w:type="textWrapping"/>
            </w:r>
            <w:r>
              <w:rPr>
                <w:rFonts w:hint="default" w:ascii="Arial" w:hAnsi="Arial" w:eastAsia="宋体" w:cs="Arial"/>
                <w:i/>
                <w:iCs/>
                <w:kern w:val="0"/>
                <w:sz w:val="20"/>
                <w:szCs w:val="20"/>
                <w:bdr w:val="none" w:color="auto" w:sz="0" w:space="0"/>
                <w:lang w:val="en-US" w:eastAsia="zh-CN" w:bidi="ar"/>
              </w:rPr>
              <w:t>(0.01 – 0.61)</w:t>
            </w:r>
          </w:p>
        </w:tc>
        <w:tc>
          <w:tcPr>
            <w:tcW w:w="659" w:type="dxa"/>
            <w:tcBorders>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i/>
                <w:iCs/>
                <w:sz w:val="20"/>
                <w:szCs w:val="20"/>
              </w:rPr>
            </w:pPr>
            <w:r>
              <w:rPr>
                <w:rStyle w:val="5"/>
                <w:rFonts w:hint="default" w:ascii="Arial" w:hAnsi="Arial" w:eastAsia="宋体" w:cs="Arial"/>
                <w:i/>
                <w:iCs/>
                <w:kern w:val="0"/>
                <w:sz w:val="20"/>
                <w:szCs w:val="20"/>
                <w:bdr w:val="none" w:color="auto" w:sz="0" w:space="0"/>
                <w:lang w:val="en-US" w:eastAsia="zh-CN" w:bidi="ar"/>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tcBorders>
              <w:top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Cafea</w:t>
            </w:r>
          </w:p>
        </w:tc>
        <w:tc>
          <w:tcPr>
            <w:tcW w:w="1581" w:type="dxa"/>
            <w:tcBorders>
              <w:top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0.89</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(0.53 – 1.49)</w:t>
            </w:r>
          </w:p>
        </w:tc>
        <w:tc>
          <w:tcPr>
            <w:tcW w:w="802" w:type="dxa"/>
            <w:tcBorders>
              <w:top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0.666</w:t>
            </w:r>
          </w:p>
        </w:tc>
        <w:tc>
          <w:tcPr>
            <w:tcW w:w="1580" w:type="dxa"/>
            <w:tcBorders>
              <w:top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0.97</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(0.58 – 1.60)</w:t>
            </w:r>
          </w:p>
        </w:tc>
        <w:tc>
          <w:tcPr>
            <w:tcW w:w="659" w:type="dxa"/>
            <w:tcBorders>
              <w:top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8" w:hRule="atLeast"/>
        </w:trPr>
        <w:tc>
          <w:tcPr>
            <w:tcW w:w="371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Alcool</w:t>
            </w:r>
          </w:p>
        </w:tc>
        <w:tc>
          <w:tcPr>
            <w:tcW w:w="1581"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1.45</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(0.54 – 4.02)</w:t>
            </w:r>
          </w:p>
        </w:tc>
        <w:tc>
          <w:tcPr>
            <w:tcW w:w="8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0.463</w:t>
            </w:r>
          </w:p>
        </w:tc>
        <w:tc>
          <w:tcPr>
            <w:tcW w:w="1580"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Arial" w:hAnsi="Arial" w:cs="Arial"/>
                <w:sz w:val="20"/>
                <w:szCs w:val="20"/>
              </w:rPr>
            </w:pPr>
          </w:p>
        </w:tc>
        <w:tc>
          <w:tcPr>
            <w:tcW w:w="659"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eastAsia="宋体" w:cs="Arial"/>
                <w:kern w:val="0"/>
                <w:sz w:val="20"/>
                <w:szCs w:val="20"/>
                <w:bdr w:val="none" w:color="auto" w:sz="0" w:space="0"/>
                <w:lang w:val="en-US" w:eastAsia="zh-CN" w:bidi="ar"/>
              </w:rPr>
            </w:pPr>
            <w:r>
              <w:rPr>
                <w:rFonts w:hint="default" w:ascii="Arial" w:hAnsi="Arial" w:eastAsia="宋体" w:cs="Arial"/>
                <w:kern w:val="0"/>
                <w:sz w:val="20"/>
                <w:szCs w:val="20"/>
                <w:lang w:val="en-US" w:eastAsia="zh-CN" w:bidi="ar"/>
              </w:rPr>
              <w:t>Alcool (cantitate)</w:t>
            </w:r>
          </w:p>
        </w:tc>
        <w:tc>
          <w:tcPr>
            <w:tcW w:w="1581"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Arial" w:hAnsi="Arial" w:eastAsia="宋体" w:cs="Arial"/>
                <w:kern w:val="0"/>
                <w:sz w:val="20"/>
                <w:szCs w:val="20"/>
                <w:bdr w:val="none" w:color="auto" w:sz="0" w:space="0"/>
                <w:lang w:val="en-US" w:eastAsia="zh-CN" w:bidi="ar"/>
              </w:rPr>
            </w:pPr>
          </w:p>
        </w:tc>
        <w:tc>
          <w:tcPr>
            <w:tcW w:w="80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rPr>
                <w:rFonts w:hint="default" w:ascii="Arial" w:hAnsi="Arial" w:eastAsia="宋体" w:cs="Arial"/>
                <w:kern w:val="0"/>
                <w:sz w:val="20"/>
                <w:szCs w:val="20"/>
                <w:bdr w:val="none" w:color="auto" w:sz="0" w:space="0"/>
                <w:lang w:val="en-US" w:eastAsia="zh-CN" w:bidi="ar"/>
              </w:rPr>
            </w:pPr>
          </w:p>
        </w:tc>
        <w:tc>
          <w:tcPr>
            <w:tcW w:w="1580"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lang w:val="en-US" w:eastAsia="zh-CN" w:bidi="ar"/>
              </w:rPr>
              <w:t>0.92</w:t>
            </w:r>
            <w:r>
              <w:rPr>
                <w:rFonts w:hint="default" w:ascii="Arial" w:hAnsi="Arial" w:eastAsia="宋体" w:cs="Arial"/>
                <w:kern w:val="0"/>
                <w:sz w:val="20"/>
                <w:szCs w:val="20"/>
                <w:lang w:val="en-US" w:eastAsia="zh-CN" w:bidi="ar"/>
              </w:rPr>
              <w:br w:type="textWrapping"/>
            </w:r>
            <w:r>
              <w:rPr>
                <w:rFonts w:hint="default" w:ascii="Arial" w:hAnsi="Arial" w:eastAsia="宋体" w:cs="Arial"/>
                <w:kern w:val="0"/>
                <w:sz w:val="20"/>
                <w:szCs w:val="20"/>
                <w:lang w:val="en-US" w:eastAsia="zh-CN" w:bidi="ar"/>
              </w:rPr>
              <w:t>(0.54 – 1.52)</w:t>
            </w:r>
          </w:p>
        </w:tc>
        <w:tc>
          <w:tcPr>
            <w:tcW w:w="65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lang w:val="en-US" w:eastAsia="zh-CN" w:bidi="ar"/>
              </w:rPr>
              <w:t>0.745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Fumat</w:t>
            </w:r>
          </w:p>
        </w:tc>
        <w:tc>
          <w:tcPr>
            <w:tcW w:w="1581"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1.62</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(0.61 – 4.37)</w:t>
            </w:r>
          </w:p>
        </w:tc>
        <w:tc>
          <w:tcPr>
            <w:tcW w:w="8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0.331</w:t>
            </w:r>
          </w:p>
        </w:tc>
        <w:tc>
          <w:tcPr>
            <w:tcW w:w="1580"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Arial" w:hAnsi="Arial" w:cs="Arial"/>
                <w:sz w:val="20"/>
                <w:szCs w:val="20"/>
              </w:rPr>
            </w:pPr>
          </w:p>
        </w:tc>
        <w:tc>
          <w:tcPr>
            <w:tcW w:w="659"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eastAsia="宋体" w:cs="Arial"/>
                <w:kern w:val="0"/>
                <w:sz w:val="20"/>
                <w:szCs w:val="20"/>
                <w:bdr w:val="none" w:color="auto" w:sz="0" w:space="0"/>
                <w:lang w:val="en-US" w:eastAsia="zh-CN" w:bidi="ar"/>
              </w:rPr>
            </w:pPr>
            <w:r>
              <w:rPr>
                <w:rFonts w:hint="default" w:ascii="Arial" w:hAnsi="Arial" w:eastAsia="宋体" w:cs="Arial"/>
                <w:kern w:val="0"/>
                <w:sz w:val="20"/>
                <w:szCs w:val="20"/>
                <w:lang w:val="en-US" w:eastAsia="zh-CN" w:bidi="ar"/>
              </w:rPr>
              <w:t>Fumat (cantitate)</w:t>
            </w:r>
          </w:p>
        </w:tc>
        <w:tc>
          <w:tcPr>
            <w:tcW w:w="1581"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default" w:ascii="Arial" w:hAnsi="Arial" w:eastAsia="宋体" w:cs="Arial"/>
                <w:kern w:val="0"/>
                <w:sz w:val="20"/>
                <w:szCs w:val="20"/>
                <w:bdr w:val="none" w:color="auto" w:sz="0" w:space="0"/>
                <w:lang w:val="en-US" w:eastAsia="zh-CN" w:bidi="ar"/>
              </w:rPr>
            </w:pPr>
          </w:p>
        </w:tc>
        <w:tc>
          <w:tcPr>
            <w:tcW w:w="80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rPr>
                <w:rFonts w:hint="default" w:ascii="Arial" w:hAnsi="Arial" w:eastAsia="宋体" w:cs="Arial"/>
                <w:kern w:val="0"/>
                <w:sz w:val="20"/>
                <w:szCs w:val="20"/>
                <w:bdr w:val="none" w:color="auto" w:sz="0" w:space="0"/>
                <w:lang w:val="en-US" w:eastAsia="zh-CN" w:bidi="ar"/>
              </w:rPr>
            </w:pPr>
          </w:p>
        </w:tc>
        <w:tc>
          <w:tcPr>
            <w:tcW w:w="1580"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lang w:val="en-US" w:eastAsia="zh-CN" w:bidi="ar"/>
              </w:rPr>
              <w:t>1.21</w:t>
            </w:r>
            <w:r>
              <w:rPr>
                <w:rFonts w:hint="default" w:ascii="Arial" w:hAnsi="Arial" w:eastAsia="宋体" w:cs="Arial"/>
                <w:kern w:val="0"/>
                <w:sz w:val="20"/>
                <w:szCs w:val="20"/>
                <w:lang w:val="en-US" w:eastAsia="zh-CN" w:bidi="ar"/>
              </w:rPr>
              <w:br w:type="textWrapping"/>
            </w:r>
            <w:r>
              <w:rPr>
                <w:rFonts w:hint="default" w:ascii="Arial" w:hAnsi="Arial" w:eastAsia="宋体" w:cs="Arial"/>
                <w:kern w:val="0"/>
                <w:sz w:val="20"/>
                <w:szCs w:val="20"/>
                <w:lang w:val="en-US" w:eastAsia="zh-CN" w:bidi="ar"/>
              </w:rPr>
              <w:t>(0.88 – 1.70)</w:t>
            </w:r>
          </w:p>
        </w:tc>
        <w:tc>
          <w:tcPr>
            <w:tcW w:w="65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lang w:val="en-US" w:eastAsia="zh-CN" w:bidi="ar"/>
              </w:rPr>
              <w:t>0.248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Accentuarea simptomelor</w:t>
            </w:r>
            <w:r>
              <w:rPr>
                <w:rFonts w:hint="default" w:ascii="Arial" w:hAnsi="Arial" w:eastAsia="宋体" w:cs="Arial"/>
                <w:kern w:val="0"/>
                <w:sz w:val="20"/>
                <w:szCs w:val="20"/>
                <w:bdr w:val="none" w:color="auto" w:sz="0" w:space="0"/>
                <w:lang w:val="en" w:eastAsia="zh-CN" w:bidi="ar"/>
              </w:rPr>
              <w:t xml:space="preserve"> </w:t>
            </w:r>
            <w:r>
              <w:rPr>
                <w:rFonts w:hint="default" w:ascii="Arial" w:hAnsi="Arial" w:eastAsia="宋体" w:cs="Arial"/>
                <w:kern w:val="0"/>
                <w:sz w:val="20"/>
                <w:szCs w:val="20"/>
                <w:bdr w:val="none" w:color="auto" w:sz="0" w:space="0"/>
                <w:lang w:val="en-US" w:eastAsia="zh-CN" w:bidi="ar"/>
              </w:rPr>
              <w:t>la stres</w:t>
            </w:r>
          </w:p>
        </w:tc>
        <w:tc>
          <w:tcPr>
            <w:tcW w:w="1581"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8.19</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(2.79 – 30.36)</w:t>
            </w:r>
          </w:p>
        </w:tc>
        <w:tc>
          <w:tcPr>
            <w:tcW w:w="8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Style w:val="5"/>
                <w:rFonts w:hint="default" w:ascii="Arial" w:hAnsi="Arial" w:eastAsia="宋体" w:cs="Arial"/>
                <w:kern w:val="0"/>
                <w:sz w:val="20"/>
                <w:szCs w:val="20"/>
                <w:bdr w:val="none" w:color="auto" w:sz="0" w:space="0"/>
                <w:lang w:val="en-US" w:eastAsia="zh-CN" w:bidi="ar"/>
              </w:rPr>
              <w:t>&lt;0.001</w:t>
            </w:r>
          </w:p>
        </w:tc>
        <w:tc>
          <w:tcPr>
            <w:tcW w:w="1580"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7.45</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(2.55 – 27.43)</w:t>
            </w:r>
          </w:p>
        </w:tc>
        <w:tc>
          <w:tcPr>
            <w:tcW w:w="65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Style w:val="5"/>
                <w:rFonts w:hint="default" w:ascii="Arial" w:hAnsi="Arial" w:eastAsia="宋体" w:cs="Arial"/>
                <w:kern w:val="0"/>
                <w:sz w:val="20"/>
                <w:szCs w:val="20"/>
                <w:bdr w:val="none" w:color="auto" w:sz="0" w:space="0"/>
                <w:lang w:val="en-US" w:eastAsia="zh-CN" w:bidi="ar"/>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8" w:hRule="atLeast"/>
        </w:trPr>
        <w:tc>
          <w:tcPr>
            <w:tcW w:w="371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Alimente bogate în</w:t>
            </w:r>
            <w:r>
              <w:rPr>
                <w:rFonts w:hint="default" w:ascii="Arial" w:hAnsi="Arial" w:eastAsia="宋体" w:cs="Arial"/>
                <w:kern w:val="0"/>
                <w:sz w:val="20"/>
                <w:szCs w:val="20"/>
                <w:bdr w:val="none" w:color="auto" w:sz="0" w:space="0"/>
                <w:lang w:val="en" w:eastAsia="zh-CN" w:bidi="ar"/>
              </w:rPr>
              <w:t xml:space="preserve"> </w:t>
            </w:r>
            <w:r>
              <w:rPr>
                <w:rFonts w:hint="default" w:ascii="Arial" w:hAnsi="Arial" w:eastAsia="宋体" w:cs="Arial"/>
                <w:kern w:val="0"/>
                <w:sz w:val="20"/>
                <w:szCs w:val="20"/>
                <w:bdr w:val="none" w:color="auto" w:sz="0" w:space="0"/>
                <w:lang w:val="en-US" w:eastAsia="zh-CN" w:bidi="ar"/>
              </w:rPr>
              <w:t>grăsimi</w:t>
            </w:r>
          </w:p>
        </w:tc>
        <w:tc>
          <w:tcPr>
            <w:tcW w:w="1581"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1.18</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(0.74 – 1.91)</w:t>
            </w:r>
          </w:p>
        </w:tc>
        <w:tc>
          <w:tcPr>
            <w:tcW w:w="8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0.493</w:t>
            </w:r>
          </w:p>
        </w:tc>
        <w:tc>
          <w:tcPr>
            <w:tcW w:w="1580"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1.20</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(0.75 – 1.94)</w:t>
            </w:r>
          </w:p>
        </w:tc>
        <w:tc>
          <w:tcPr>
            <w:tcW w:w="65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0.455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3714"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Sex [F</w:t>
            </w:r>
            <w:r>
              <w:rPr>
                <w:rFonts w:hint="default" w:ascii="Arial" w:hAnsi="Arial" w:eastAsia="宋体" w:cs="Arial"/>
                <w:kern w:val="0"/>
                <w:sz w:val="20"/>
                <w:szCs w:val="20"/>
                <w:bdr w:val="none" w:color="auto" w:sz="0" w:space="0"/>
                <w:lang w:val="en" w:eastAsia="zh-CN" w:bidi="ar"/>
              </w:rPr>
              <w:t xml:space="preserve"> vs. M</w:t>
            </w:r>
            <w:r>
              <w:rPr>
                <w:rFonts w:hint="default" w:ascii="Arial" w:hAnsi="Arial" w:eastAsia="宋体" w:cs="Arial"/>
                <w:kern w:val="0"/>
                <w:sz w:val="20"/>
                <w:szCs w:val="20"/>
                <w:bdr w:val="none" w:color="auto" w:sz="0" w:space="0"/>
                <w:lang w:val="en-US" w:eastAsia="zh-CN" w:bidi="ar"/>
              </w:rPr>
              <w:t>]</w:t>
            </w:r>
          </w:p>
        </w:tc>
        <w:tc>
          <w:tcPr>
            <w:tcW w:w="1581"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1.29</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(0.42 – 4.16)</w:t>
            </w:r>
          </w:p>
        </w:tc>
        <w:tc>
          <w:tcPr>
            <w:tcW w:w="802"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0.662</w:t>
            </w:r>
          </w:p>
        </w:tc>
        <w:tc>
          <w:tcPr>
            <w:tcW w:w="1580"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1.07</w:t>
            </w:r>
            <w:r>
              <w:rPr>
                <w:rFonts w:hint="default" w:ascii="Arial" w:hAnsi="Arial" w:eastAsia="宋体" w:cs="Arial"/>
                <w:kern w:val="0"/>
                <w:sz w:val="20"/>
                <w:szCs w:val="20"/>
                <w:bdr w:val="none" w:color="auto" w:sz="0" w:space="0"/>
                <w:lang w:val="en-US" w:eastAsia="zh-CN" w:bidi="ar"/>
              </w:rPr>
              <w:br w:type="textWrapping"/>
            </w:r>
            <w:r>
              <w:rPr>
                <w:rFonts w:hint="default" w:ascii="Arial" w:hAnsi="Arial" w:eastAsia="宋体" w:cs="Arial"/>
                <w:kern w:val="0"/>
                <w:sz w:val="20"/>
                <w:szCs w:val="20"/>
                <w:bdr w:val="none" w:color="auto" w:sz="0" w:space="0"/>
                <w:lang w:val="en-US" w:eastAsia="zh-CN" w:bidi="ar"/>
              </w:rPr>
              <w:t>(0.35 – 3.37)</w:t>
            </w:r>
          </w:p>
        </w:tc>
        <w:tc>
          <w:tcPr>
            <w:tcW w:w="659" w:type="dxa"/>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textAlignment w:val="top"/>
              <w:rPr>
                <w:rFonts w:hint="default" w:ascii="Arial" w:hAnsi="Arial" w:cs="Arial"/>
                <w:sz w:val="20"/>
                <w:szCs w:val="20"/>
              </w:rPr>
            </w:pPr>
            <w:r>
              <w:rPr>
                <w:rFonts w:hint="default" w:ascii="Arial" w:hAnsi="Arial" w:eastAsia="宋体" w:cs="Arial"/>
                <w:kern w:val="0"/>
                <w:sz w:val="20"/>
                <w:szCs w:val="20"/>
                <w:bdr w:val="none" w:color="auto" w:sz="0" w:space="0"/>
                <w:lang w:val="en-US" w:eastAsia="zh-CN" w:bidi="ar"/>
              </w:rPr>
              <w:t>0.909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 w:hRule="atLeast"/>
        </w:trPr>
        <w:tc>
          <w:tcPr>
            <w:tcW w:w="3714" w:type="dxa"/>
            <w:tcBorders>
              <w:top w:val="single" w:color="auto" w:sz="8" w:space="0"/>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top"/>
              <w:rPr>
                <w:rFonts w:hint="default" w:ascii="Arial" w:hAnsi="Arial" w:cs="Arial"/>
                <w:i/>
                <w:iCs/>
                <w:sz w:val="20"/>
                <w:szCs w:val="20"/>
              </w:rPr>
            </w:pPr>
            <w:r>
              <w:rPr>
                <w:rFonts w:hint="default" w:ascii="Arial" w:hAnsi="Arial" w:eastAsia="宋体" w:cs="Arial"/>
                <w:i/>
                <w:iCs/>
                <w:kern w:val="0"/>
                <w:sz w:val="20"/>
                <w:szCs w:val="20"/>
                <w:bdr w:val="none" w:color="auto" w:sz="0" w:space="0"/>
                <w:lang w:val="en-US" w:eastAsia="zh-CN" w:bidi="ar"/>
              </w:rPr>
              <w:t>R</w:t>
            </w:r>
            <w:r>
              <w:rPr>
                <w:rFonts w:hint="default" w:ascii="Arial" w:hAnsi="Arial" w:eastAsia="宋体" w:cs="Arial"/>
                <w:i/>
                <w:iCs/>
                <w:kern w:val="0"/>
                <w:sz w:val="20"/>
                <w:szCs w:val="20"/>
                <w:bdr w:val="none" w:color="auto" w:sz="0" w:space="0"/>
                <w:vertAlign w:val="superscript"/>
                <w:lang w:val="en-US" w:eastAsia="zh-CN" w:bidi="ar"/>
              </w:rPr>
              <w:t>2</w:t>
            </w:r>
            <w:r>
              <w:rPr>
                <w:rFonts w:hint="default" w:ascii="Arial" w:hAnsi="Arial" w:eastAsia="宋体" w:cs="Arial"/>
                <w:i/>
                <w:iCs/>
                <w:kern w:val="0"/>
                <w:sz w:val="20"/>
                <w:szCs w:val="20"/>
                <w:bdr w:val="none" w:color="auto" w:sz="0" w:space="0"/>
                <w:lang w:val="en-US" w:eastAsia="zh-CN" w:bidi="ar"/>
              </w:rPr>
              <w:t xml:space="preserve"> Tjur</w:t>
            </w:r>
          </w:p>
        </w:tc>
        <w:tc>
          <w:tcPr>
            <w:tcW w:w="2383" w:type="dxa"/>
            <w:gridSpan w:val="2"/>
            <w:tcBorders>
              <w:top w:val="single" w:color="auto" w:sz="8" w:space="0"/>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i/>
                <w:iCs/>
                <w:sz w:val="20"/>
                <w:szCs w:val="20"/>
              </w:rPr>
            </w:pPr>
            <w:r>
              <w:rPr>
                <w:rFonts w:hint="default" w:ascii="Arial" w:hAnsi="Arial" w:eastAsia="宋体" w:cs="Arial"/>
                <w:i/>
                <w:iCs/>
                <w:kern w:val="0"/>
                <w:sz w:val="20"/>
                <w:szCs w:val="20"/>
                <w:bdr w:val="none" w:color="auto" w:sz="0" w:space="0"/>
                <w:lang w:val="en-US" w:eastAsia="zh-CN" w:bidi="ar"/>
              </w:rPr>
              <w:t>0.182</w:t>
            </w:r>
          </w:p>
        </w:tc>
        <w:tc>
          <w:tcPr>
            <w:tcW w:w="2239" w:type="dxa"/>
            <w:gridSpan w:val="2"/>
            <w:tcBorders>
              <w:top w:val="single" w:color="auto" w:sz="8" w:space="0"/>
              <w:bottom w:val="single" w:color="auto" w:sz="8"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top"/>
              <w:rPr>
                <w:rFonts w:hint="default" w:ascii="Arial" w:hAnsi="Arial" w:cs="Arial"/>
                <w:i/>
                <w:iCs/>
                <w:sz w:val="20"/>
                <w:szCs w:val="20"/>
              </w:rPr>
            </w:pPr>
            <w:r>
              <w:rPr>
                <w:rFonts w:hint="default" w:ascii="Arial" w:hAnsi="Arial" w:eastAsia="宋体" w:cs="Arial"/>
                <w:i/>
                <w:iCs/>
                <w:kern w:val="0"/>
                <w:sz w:val="20"/>
                <w:szCs w:val="20"/>
                <w:bdr w:val="none" w:color="auto" w:sz="0" w:space="0"/>
                <w:lang w:val="en-US" w:eastAsia="zh-CN" w:bidi="ar"/>
              </w:rPr>
              <w:t>0.179</w:t>
            </w:r>
          </w:p>
        </w:tc>
      </w:tr>
    </w:tbl>
    <w:p>
      <w:pPr>
        <w:rPr>
          <w:rFonts w:hint="default" w:ascii="Arial" w:hAnsi="Arial" w:cs="Arial"/>
          <w:sz w:val="20"/>
          <w:szCs w:val="20"/>
        </w:rPr>
      </w:pPr>
    </w:p>
    <w:p>
      <w:pPr>
        <w:rPr>
          <w:rFonts w:hint="default" w:ascii="Arial" w:hAnsi="Arial" w:cs="Arial"/>
          <w:b w:val="0"/>
          <w:bCs w:val="0"/>
          <w:lang w:val="en" w:eastAsia="zh-CN"/>
        </w:rPr>
      </w:pPr>
      <w:r>
        <w:rPr>
          <w:rFonts w:hint="default" w:ascii="Arial" w:hAnsi="Arial" w:cs="Arial"/>
          <w:b w:val="0"/>
          <w:bCs w:val="0"/>
          <w:lang w:val="en" w:eastAsia="zh-CN"/>
        </w:rPr>
        <w:br w:type="page"/>
      </w:r>
    </w:p>
    <w:p>
      <w:pPr>
        <w:bidi w:val="0"/>
        <w:rPr>
          <w:rFonts w:hint="default" w:ascii="Arial" w:hAnsi="Arial" w:cs="Arial"/>
          <w:b w:val="0"/>
          <w:bCs w:val="0"/>
          <w:lang w:val="en" w:eastAsia="zh-CN"/>
        </w:rPr>
      </w:pPr>
      <w:r>
        <w:rPr>
          <w:rFonts w:hint="default" w:ascii="Arial" w:hAnsi="Arial" w:cs="Arial"/>
          <w:b w:val="0"/>
          <w:bCs w:val="0"/>
          <w:lang w:val="en" w:eastAsia="zh-CN"/>
        </w:rPr>
        <w:t>În urma analizei multivariate pe baza modelului binar, am confirmat asocierea dintre probabilitatea semnificativ mai mare (OR=0.39, p=0.032) a unui diagnostic de intestin iritabil (conf. ROMA IV) și consumul mai scăzut de cafea</w:t>
      </w:r>
      <w:r>
        <w:rPr>
          <w:rFonts w:hint="default" w:ascii="Arial" w:hAnsi="Arial" w:eastAsia="宋体" w:cs="Arial"/>
          <w:kern w:val="0"/>
          <w:sz w:val="20"/>
          <w:szCs w:val="20"/>
          <w:lang w:val="en" w:eastAsia="zh-CN" w:bidi="ar"/>
        </w:rPr>
        <w:t>, ajustând pentru restul factorilor de risc. Consumul declarat de alcool a prezentat o tendință spre o asociere semnificativă statistic cu diagnosticul de intestin iritabil (OR = 5.34, IC95% = 1.15 - 39.74, p=0.054). Modelul cantitativ nu a confirmat aceste corelații. Consumul mai scăzut de cafea a prezentat o tendință de asociere cu diagnosticul de intestin iritabil (</w:t>
      </w:r>
      <w:r>
        <w:rPr>
          <w:rFonts w:hint="default" w:ascii="Arial" w:hAnsi="Arial" w:cs="Arial"/>
          <w:b w:val="0"/>
          <w:bCs w:val="0"/>
          <w:lang w:val="en" w:eastAsia="zh-CN"/>
        </w:rPr>
        <w:t xml:space="preserve">OR=0.47, IC95% = </w:t>
      </w:r>
      <w:r>
        <w:rPr>
          <w:rFonts w:hint="default" w:ascii="Arial" w:hAnsi="Arial" w:cs="Arial"/>
          <w:sz w:val="20"/>
          <w:szCs w:val="20"/>
          <w:lang w:val="en-US" w:eastAsia="zh-CN"/>
        </w:rPr>
        <w:t>0.19 – 1.01</w:t>
      </w:r>
      <w:r>
        <w:rPr>
          <w:rFonts w:hint="default" w:ascii="Arial" w:hAnsi="Arial" w:cs="Arial"/>
          <w:b w:val="0"/>
          <w:bCs w:val="0"/>
          <w:lang w:val="en" w:eastAsia="zh-CN"/>
        </w:rPr>
        <w:t xml:space="preserve">, p=0.075), iar cantitatea de alcool declarată nu s-a asociat cu diagnosticul de intestin iritabil, ajustând pentru restul factorilor de risc. </w:t>
      </w:r>
      <w:r>
        <w:rPr>
          <w:rFonts w:hint="default" w:ascii="Arial" w:hAnsi="Arial" w:eastAsia="宋体" w:cs="Arial"/>
          <w:kern w:val="0"/>
          <w:sz w:val="20"/>
          <w:szCs w:val="20"/>
          <w:lang w:val="en" w:eastAsia="zh-CN" w:bidi="ar"/>
        </w:rPr>
        <w:t>Niciunul dintre aceștia nu s-a asociat semnificativ statistic cu intestinul iritabil.</w:t>
      </w:r>
    </w:p>
    <w:p>
      <w:pPr>
        <w:bidi w:val="0"/>
        <w:rPr>
          <w:rFonts w:hint="default" w:ascii="Arial" w:hAnsi="Arial" w:cs="Arial"/>
          <w:b w:val="0"/>
          <w:bCs w:val="0"/>
          <w:lang w:val="en" w:eastAsia="zh-CN"/>
        </w:rPr>
      </w:pPr>
    </w:p>
    <w:p>
      <w:pPr>
        <w:bidi w:val="0"/>
        <w:rPr>
          <w:rFonts w:hint="default" w:ascii="Arial" w:hAnsi="Arial" w:cs="Arial"/>
          <w:sz w:val="20"/>
          <w:szCs w:val="20"/>
        </w:rPr>
      </w:pPr>
      <w:r>
        <w:rPr>
          <w:rFonts w:hint="default" w:ascii="Arial" w:hAnsi="Arial" w:cs="Arial"/>
          <w:b w:val="0"/>
          <w:bCs w:val="0"/>
          <w:lang w:val="en" w:eastAsia="zh-CN"/>
        </w:rPr>
        <w:t>Tabel 2: Rezultatele regresiilor logistice pentru diagnosticul de intestin iritabil. Tabelul include OR (cu IC95%) și valoarea p, pentru modelele binar și cantitativ. Dintre cele 2 modele, cel binar a avut o performață superioară conform coeficienților R</w:t>
      </w:r>
      <w:r>
        <w:rPr>
          <w:rFonts w:hint="default" w:ascii="Arial" w:hAnsi="Arial" w:cs="Arial"/>
          <w:b w:val="0"/>
          <w:bCs w:val="0"/>
          <w:vertAlign w:val="superscript"/>
          <w:lang w:val="en" w:eastAsia="zh-CN"/>
        </w:rPr>
        <w:t>2</w:t>
      </w:r>
      <w:r>
        <w:rPr>
          <w:rFonts w:hint="default" w:ascii="Arial" w:hAnsi="Arial" w:cs="Arial"/>
          <w:b w:val="0"/>
          <w:bCs w:val="0"/>
          <w:lang w:val="en" w:eastAsia="zh-CN"/>
        </w:rPr>
        <w:t>.</w:t>
      </w:r>
    </w:p>
    <w:tbl>
      <w:tblPr>
        <w:tblW w:w="83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
      <w:tblGrid>
        <w:gridCol w:w="3782"/>
        <w:gridCol w:w="1608"/>
        <w:gridCol w:w="668"/>
        <w:gridCol w:w="1608"/>
        <w:gridCol w:w="6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 w:type="dxa"/>
            <w:left w:w="14" w:type="dxa"/>
            <w:bottom w:w="14" w:type="dxa"/>
            <w:right w:w="14" w:type="dxa"/>
          </w:tblCellMar>
        </w:tblPrEx>
        <w:trPr>
          <w:trHeight w:val="288" w:hRule="atLeast"/>
        </w:trPr>
        <w:tc>
          <w:tcPr>
            <w:tcW w:w="3782" w:type="dxa"/>
            <w:tcBorders>
              <w:top w:val="double" w:color="auto" w:sz="2"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lang w:val="en"/>
              </w:rPr>
            </w:pPr>
            <w:r>
              <w:rPr>
                <w:rFonts w:hint="default" w:ascii="Arial" w:hAnsi="Arial" w:eastAsia="宋体" w:cs="Arial"/>
                <w:b/>
                <w:i w:val="0"/>
                <w:kern w:val="0"/>
                <w:sz w:val="20"/>
                <w:szCs w:val="20"/>
                <w:lang w:val="en" w:eastAsia="zh-CN" w:bidi="ar"/>
              </w:rPr>
              <w:t>Intestin iritabil:</w:t>
            </w:r>
          </w:p>
        </w:tc>
        <w:tc>
          <w:tcPr>
            <w:tcW w:w="2276" w:type="dxa"/>
            <w:gridSpan w:val="2"/>
            <w:tcBorders>
              <w:top w:val="double" w:color="auto" w:sz="2"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sz w:val="20"/>
                <w:szCs w:val="20"/>
              </w:rPr>
            </w:pPr>
            <w:r>
              <w:rPr>
                <w:rFonts w:hint="default" w:ascii="Arial" w:hAnsi="Arial" w:eastAsia="宋体" w:cs="Arial"/>
                <w:b/>
                <w:i w:val="0"/>
                <w:kern w:val="0"/>
                <w:sz w:val="20"/>
                <w:szCs w:val="20"/>
                <w:lang w:val="en" w:eastAsia="zh-CN" w:bidi="ar"/>
              </w:rPr>
              <w:t>Model binar</w:t>
            </w:r>
          </w:p>
        </w:tc>
        <w:tc>
          <w:tcPr>
            <w:tcW w:w="2276" w:type="dxa"/>
            <w:gridSpan w:val="2"/>
            <w:tcBorders>
              <w:top w:val="double" w:color="auto" w:sz="2"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sz w:val="20"/>
                <w:szCs w:val="20"/>
              </w:rPr>
            </w:pPr>
            <w:r>
              <w:rPr>
                <w:rFonts w:hint="default" w:ascii="Arial" w:hAnsi="Arial" w:eastAsia="宋体" w:cs="Arial"/>
                <w:b/>
                <w:i w:val="0"/>
                <w:kern w:val="0"/>
                <w:sz w:val="20"/>
                <w:szCs w:val="20"/>
                <w:lang w:val="en" w:eastAsia="zh-CN" w:bidi="ar"/>
              </w:rPr>
              <w:t>Model cantitativ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both"/>
              <w:rPr>
                <w:rFonts w:hint="default" w:ascii="Arial" w:hAnsi="Arial" w:cs="Arial"/>
                <w:sz w:val="20"/>
                <w:szCs w:val="20"/>
                <w:lang w:val="en"/>
              </w:rPr>
            </w:pPr>
            <w:r>
              <w:rPr>
                <w:rFonts w:hint="default" w:ascii="Arial" w:hAnsi="Arial" w:eastAsia="宋体" w:cs="Arial"/>
                <w:b w:val="0"/>
                <w:i/>
                <w:kern w:val="0"/>
                <w:sz w:val="20"/>
                <w:szCs w:val="20"/>
                <w:lang w:val="en-US" w:eastAsia="zh-CN" w:bidi="ar"/>
              </w:rPr>
              <w:t>Predictor</w:t>
            </w:r>
            <w:r>
              <w:rPr>
                <w:rFonts w:hint="default" w:ascii="Arial" w:hAnsi="Arial" w:eastAsia="宋体" w:cs="Arial"/>
                <w:b w:val="0"/>
                <w:i/>
                <w:kern w:val="0"/>
                <w:sz w:val="20"/>
                <w:szCs w:val="20"/>
                <w:lang w:val="en" w:eastAsia="zh-CN" w:bidi="ar"/>
              </w:rPr>
              <w:t>i</w:t>
            </w:r>
          </w:p>
        </w:tc>
        <w:tc>
          <w:tcPr>
            <w:tcW w:w="1608"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sz w:val="20"/>
                <w:szCs w:val="20"/>
              </w:rPr>
            </w:pPr>
            <w:r>
              <w:rPr>
                <w:rFonts w:hint="default" w:ascii="Arial" w:hAnsi="Arial" w:eastAsia="宋体" w:cs="Arial"/>
                <w:b w:val="0"/>
                <w:i/>
                <w:kern w:val="0"/>
                <w:sz w:val="20"/>
                <w:szCs w:val="20"/>
                <w:lang w:val="en-US" w:eastAsia="zh-CN" w:bidi="ar"/>
              </w:rPr>
              <w:t>Odds Ratio</w:t>
            </w:r>
          </w:p>
        </w:tc>
        <w:tc>
          <w:tcPr>
            <w:tcW w:w="668"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rPr>
                <w:rFonts w:hint="default" w:ascii="Arial" w:hAnsi="Arial" w:cs="Arial"/>
                <w:sz w:val="20"/>
                <w:szCs w:val="20"/>
              </w:rPr>
            </w:pPr>
            <w:r>
              <w:rPr>
                <w:rFonts w:hint="default" w:ascii="Arial" w:hAnsi="Arial" w:eastAsia="宋体" w:cs="Arial"/>
                <w:b w:val="0"/>
                <w:i/>
                <w:kern w:val="0"/>
                <w:sz w:val="20"/>
                <w:szCs w:val="20"/>
                <w:lang w:val="en-US" w:eastAsia="zh-CN" w:bidi="ar"/>
              </w:rPr>
              <w:t>p</w:t>
            </w:r>
          </w:p>
        </w:tc>
        <w:tc>
          <w:tcPr>
            <w:tcW w:w="1608"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rPr>
                <w:rFonts w:hint="default" w:ascii="Arial" w:hAnsi="Arial" w:cs="Arial"/>
                <w:sz w:val="20"/>
                <w:szCs w:val="20"/>
              </w:rPr>
            </w:pPr>
            <w:r>
              <w:rPr>
                <w:rFonts w:hint="default" w:ascii="Arial" w:hAnsi="Arial" w:eastAsia="宋体" w:cs="Arial"/>
                <w:b w:val="0"/>
                <w:i/>
                <w:kern w:val="0"/>
                <w:sz w:val="20"/>
                <w:szCs w:val="20"/>
                <w:lang w:val="en-US" w:eastAsia="zh-CN" w:bidi="ar"/>
              </w:rPr>
              <w:t>Odds Ratio</w:t>
            </w:r>
          </w:p>
        </w:tc>
        <w:tc>
          <w:tcPr>
            <w:tcW w:w="668" w:type="dxa"/>
            <w:tcBorders>
              <w:bottom w:val="single" w:color="auto" w:sz="6" w:space="0"/>
            </w:tcBorders>
            <w:shd w:val="cle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right"/>
              <w:rPr>
                <w:rFonts w:hint="default" w:ascii="Arial" w:hAnsi="Arial" w:cs="Arial"/>
                <w:sz w:val="20"/>
                <w:szCs w:val="20"/>
              </w:rPr>
            </w:pPr>
            <w:r>
              <w:rPr>
                <w:rFonts w:hint="default" w:ascii="Arial" w:hAnsi="Arial" w:eastAsia="宋体" w:cs="Arial"/>
                <w:b w:val="0"/>
                <w:i/>
                <w:kern w:val="0"/>
                <w:sz w:val="20"/>
                <w:szCs w:val="20"/>
                <w:lang w:val="en-US" w:eastAsia="zh-CN" w:bidi="ar"/>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i/>
                <w:iCs/>
                <w:sz w:val="20"/>
                <w:szCs w:val="20"/>
              </w:rPr>
            </w:pPr>
            <w:r>
              <w:rPr>
                <w:rFonts w:hint="default" w:ascii="Arial" w:hAnsi="Arial" w:cs="Arial"/>
                <w:i/>
                <w:iCs/>
                <w:sz w:val="20"/>
                <w:szCs w:val="20"/>
                <w:lang w:val="en-US" w:eastAsia="zh-CN"/>
              </w:rPr>
              <w:t>(Intercept)</w:t>
            </w:r>
          </w:p>
        </w:tc>
        <w:tc>
          <w:tcPr>
            <w:tcW w:w="160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i/>
                <w:iCs/>
                <w:sz w:val="20"/>
                <w:szCs w:val="20"/>
              </w:rPr>
            </w:pPr>
            <w:r>
              <w:rPr>
                <w:rFonts w:hint="default" w:ascii="Arial" w:hAnsi="Arial" w:cs="Arial"/>
                <w:i/>
                <w:iCs/>
                <w:sz w:val="20"/>
                <w:szCs w:val="20"/>
                <w:lang w:val="en-US" w:eastAsia="zh-CN"/>
              </w:rPr>
              <w:t>0.10</w:t>
            </w:r>
            <w:r>
              <w:rPr>
                <w:rFonts w:hint="default" w:ascii="Arial" w:hAnsi="Arial" w:cs="Arial"/>
                <w:i/>
                <w:iCs/>
                <w:sz w:val="20"/>
                <w:szCs w:val="20"/>
                <w:lang w:val="en-US" w:eastAsia="zh-CN"/>
              </w:rPr>
              <w:br w:type="textWrapping"/>
            </w:r>
            <w:r>
              <w:rPr>
                <w:rFonts w:hint="default" w:ascii="Arial" w:hAnsi="Arial" w:cs="Arial"/>
                <w:i/>
                <w:iCs/>
                <w:sz w:val="20"/>
                <w:szCs w:val="20"/>
                <w:lang w:val="en-US" w:eastAsia="zh-CN"/>
              </w:rPr>
              <w:t>(0.00 – 1.66)</w:t>
            </w:r>
          </w:p>
        </w:tc>
        <w:tc>
          <w:tcPr>
            <w:tcW w:w="66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i/>
                <w:iCs/>
                <w:sz w:val="20"/>
                <w:szCs w:val="20"/>
              </w:rPr>
            </w:pPr>
            <w:r>
              <w:rPr>
                <w:rFonts w:hint="default" w:ascii="Arial" w:hAnsi="Arial" w:cs="Arial"/>
                <w:i/>
                <w:iCs/>
                <w:sz w:val="20"/>
                <w:szCs w:val="20"/>
                <w:lang w:val="en-US" w:eastAsia="zh-CN"/>
              </w:rPr>
              <w:t>0.132</w:t>
            </w:r>
          </w:p>
        </w:tc>
        <w:tc>
          <w:tcPr>
            <w:tcW w:w="160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i/>
                <w:iCs/>
                <w:sz w:val="20"/>
                <w:szCs w:val="20"/>
              </w:rPr>
            </w:pPr>
            <w:r>
              <w:rPr>
                <w:rFonts w:hint="default" w:ascii="Arial" w:hAnsi="Arial" w:cs="Arial"/>
                <w:i/>
                <w:iCs/>
                <w:sz w:val="20"/>
                <w:szCs w:val="20"/>
                <w:lang w:val="en-US" w:eastAsia="zh-CN"/>
              </w:rPr>
              <w:t>0.22</w:t>
            </w:r>
            <w:r>
              <w:rPr>
                <w:rFonts w:hint="default" w:ascii="Arial" w:hAnsi="Arial" w:cs="Arial"/>
                <w:i/>
                <w:iCs/>
                <w:sz w:val="20"/>
                <w:szCs w:val="20"/>
                <w:lang w:val="en-US" w:eastAsia="zh-CN"/>
              </w:rPr>
              <w:br w:type="textWrapping"/>
            </w:r>
            <w:r>
              <w:rPr>
                <w:rFonts w:hint="default" w:ascii="Arial" w:hAnsi="Arial" w:cs="Arial"/>
                <w:i/>
                <w:iCs/>
                <w:sz w:val="20"/>
                <w:szCs w:val="20"/>
                <w:lang w:val="en-US" w:eastAsia="zh-CN"/>
              </w:rPr>
              <w:t>(0.01 – 3.01)</w:t>
            </w:r>
          </w:p>
        </w:tc>
        <w:tc>
          <w:tcPr>
            <w:tcW w:w="66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i/>
                <w:iCs/>
                <w:sz w:val="20"/>
                <w:szCs w:val="20"/>
              </w:rPr>
            </w:pPr>
            <w:r>
              <w:rPr>
                <w:rFonts w:hint="default" w:ascii="Arial" w:hAnsi="Arial" w:cs="Arial"/>
                <w:i/>
                <w:iCs/>
                <w:sz w:val="20"/>
                <w:szCs w:val="20"/>
                <w:lang w:val="en-US" w:eastAsia="zh-CN"/>
              </w:rPr>
              <w:t>0.280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tcBorders>
              <w:top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rPr>
            </w:pPr>
            <w:r>
              <w:rPr>
                <w:rFonts w:hint="default" w:ascii="Arial" w:hAnsi="Arial" w:cs="Arial"/>
                <w:sz w:val="20"/>
                <w:szCs w:val="20"/>
                <w:lang w:val="en-US" w:eastAsia="zh-CN"/>
              </w:rPr>
              <w:t>Cafea</w:t>
            </w:r>
          </w:p>
        </w:tc>
        <w:tc>
          <w:tcPr>
            <w:tcW w:w="1608" w:type="dxa"/>
            <w:tcBorders>
              <w:top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0.39</w:t>
            </w:r>
            <w:r>
              <w:rPr>
                <w:rFonts w:hint="default" w:ascii="Arial" w:hAnsi="Arial" w:cs="Arial"/>
                <w:sz w:val="20"/>
                <w:szCs w:val="20"/>
                <w:lang w:val="en-US" w:eastAsia="zh-CN"/>
              </w:rPr>
              <w:br w:type="textWrapping"/>
            </w:r>
            <w:r>
              <w:rPr>
                <w:rFonts w:hint="default" w:ascii="Arial" w:hAnsi="Arial" w:cs="Arial"/>
                <w:sz w:val="20"/>
                <w:szCs w:val="20"/>
                <w:lang w:val="en-US" w:eastAsia="zh-CN"/>
              </w:rPr>
              <w:t>(0.15 – 0.85)</w:t>
            </w:r>
          </w:p>
        </w:tc>
        <w:tc>
          <w:tcPr>
            <w:tcW w:w="668" w:type="dxa"/>
            <w:tcBorders>
              <w:top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b/>
                <w:bCs/>
                <w:sz w:val="20"/>
                <w:szCs w:val="20"/>
                <w:lang w:val="en-US" w:eastAsia="zh-CN"/>
              </w:rPr>
              <w:t>0.032</w:t>
            </w:r>
          </w:p>
        </w:tc>
        <w:tc>
          <w:tcPr>
            <w:tcW w:w="1608" w:type="dxa"/>
            <w:tcBorders>
              <w:top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0.47</w:t>
            </w:r>
            <w:r>
              <w:rPr>
                <w:rFonts w:hint="default" w:ascii="Arial" w:hAnsi="Arial" w:cs="Arial"/>
                <w:sz w:val="20"/>
                <w:szCs w:val="20"/>
                <w:lang w:val="en-US" w:eastAsia="zh-CN"/>
              </w:rPr>
              <w:br w:type="textWrapping"/>
            </w:r>
            <w:r>
              <w:rPr>
                <w:rFonts w:hint="default" w:ascii="Arial" w:hAnsi="Arial" w:cs="Arial"/>
                <w:sz w:val="20"/>
                <w:szCs w:val="20"/>
                <w:lang w:val="en-US" w:eastAsia="zh-CN"/>
              </w:rPr>
              <w:t>(0.19 – 1.01)</w:t>
            </w:r>
          </w:p>
        </w:tc>
        <w:tc>
          <w:tcPr>
            <w:tcW w:w="668" w:type="dxa"/>
            <w:tcBorders>
              <w:top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u w:val="single"/>
                <w:lang w:val="en-US" w:eastAsia="zh-CN"/>
              </w:rPr>
              <w:t>0.075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8" w:hRule="atLeast"/>
        </w:trPr>
        <w:tc>
          <w:tcPr>
            <w:tcW w:w="378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rPr>
            </w:pPr>
            <w:r>
              <w:rPr>
                <w:rFonts w:hint="default" w:ascii="Arial" w:hAnsi="Arial" w:cs="Arial"/>
                <w:sz w:val="20"/>
                <w:szCs w:val="20"/>
                <w:lang w:val="en-US" w:eastAsia="zh-CN"/>
              </w:rPr>
              <w:t>Alcool</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5.34</w:t>
            </w:r>
            <w:r>
              <w:rPr>
                <w:rFonts w:hint="default" w:ascii="Arial" w:hAnsi="Arial" w:cs="Arial"/>
                <w:sz w:val="20"/>
                <w:szCs w:val="20"/>
                <w:lang w:val="en-US" w:eastAsia="zh-CN"/>
              </w:rPr>
              <w:br w:type="textWrapping"/>
            </w:r>
            <w:r>
              <w:rPr>
                <w:rFonts w:hint="default" w:ascii="Arial" w:hAnsi="Arial" w:cs="Arial"/>
                <w:sz w:val="20"/>
                <w:szCs w:val="20"/>
                <w:lang w:val="en-US" w:eastAsia="zh-CN"/>
              </w:rPr>
              <w:t>(1.15 – 39.74)</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u w:val="single"/>
                <w:lang w:val="en-US" w:eastAsia="zh-CN"/>
              </w:rPr>
              <w:t>0.054</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lang w:val="en-US" w:eastAsia="zh-CN"/>
              </w:rPr>
            </w:pPr>
            <w:r>
              <w:rPr>
                <w:rFonts w:hint="default" w:ascii="Arial" w:hAnsi="Arial" w:cs="Arial"/>
                <w:sz w:val="20"/>
                <w:szCs w:val="20"/>
                <w:lang w:val="en-US" w:eastAsia="zh-CN"/>
              </w:rPr>
              <w:t>Alcool (cantitate)</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lang w:val="en-US" w:eastAsia="zh-CN"/>
              </w:rPr>
            </w:pP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lang w:val="en-US" w:eastAsia="zh-CN"/>
              </w:rPr>
            </w:pP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1.12</w:t>
            </w:r>
            <w:r>
              <w:rPr>
                <w:rFonts w:hint="default" w:ascii="Arial" w:hAnsi="Arial" w:cs="Arial"/>
                <w:sz w:val="20"/>
                <w:szCs w:val="20"/>
                <w:lang w:val="en-US" w:eastAsia="zh-CN"/>
              </w:rPr>
              <w:br w:type="textWrapping"/>
            </w:r>
            <w:r>
              <w:rPr>
                <w:rFonts w:hint="default" w:ascii="Arial" w:hAnsi="Arial" w:cs="Arial"/>
                <w:sz w:val="20"/>
                <w:szCs w:val="20"/>
                <w:lang w:val="en-US" w:eastAsia="zh-CN"/>
              </w:rPr>
              <w:t>(0.55 – 2.13)</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rPr>
            </w:pPr>
            <w:r>
              <w:rPr>
                <w:rFonts w:hint="default" w:ascii="Arial" w:hAnsi="Arial" w:cs="Arial"/>
                <w:sz w:val="20"/>
                <w:szCs w:val="20"/>
                <w:lang w:val="en-US" w:eastAsia="zh-CN"/>
              </w:rPr>
              <w:t>Fumat</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1.15</w:t>
            </w:r>
            <w:r>
              <w:rPr>
                <w:rFonts w:hint="default" w:ascii="Arial" w:hAnsi="Arial" w:cs="Arial"/>
                <w:sz w:val="20"/>
                <w:szCs w:val="20"/>
                <w:lang w:val="en-US" w:eastAsia="zh-CN"/>
              </w:rPr>
              <w:br w:type="textWrapping"/>
            </w:r>
            <w:r>
              <w:rPr>
                <w:rFonts w:hint="default" w:ascii="Arial" w:hAnsi="Arial" w:cs="Arial"/>
                <w:sz w:val="20"/>
                <w:szCs w:val="20"/>
                <w:lang w:val="en-US" w:eastAsia="zh-CN"/>
              </w:rPr>
              <w:t>(0.28 – 4.42)</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0.836</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lang w:val="en-US" w:eastAsia="zh-CN"/>
              </w:rPr>
            </w:pPr>
            <w:r>
              <w:rPr>
                <w:rFonts w:hint="default" w:ascii="Arial" w:hAnsi="Arial" w:cs="Arial"/>
                <w:sz w:val="20"/>
                <w:szCs w:val="20"/>
                <w:lang w:val="en-US" w:eastAsia="zh-CN"/>
              </w:rPr>
              <w:t>Fumat (cantitate)</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lang w:val="en-US" w:eastAsia="zh-CN"/>
              </w:rPr>
            </w:pP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lang w:val="en-US" w:eastAsia="zh-CN"/>
              </w:rPr>
            </w:pP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1.14</w:t>
            </w:r>
            <w:r>
              <w:rPr>
                <w:rFonts w:hint="default" w:ascii="Arial" w:hAnsi="Arial" w:cs="Arial"/>
                <w:sz w:val="20"/>
                <w:szCs w:val="20"/>
                <w:lang w:val="en-US" w:eastAsia="zh-CN"/>
              </w:rPr>
              <w:br w:type="textWrapping"/>
            </w:r>
            <w:r>
              <w:rPr>
                <w:rFonts w:hint="default" w:ascii="Arial" w:hAnsi="Arial" w:cs="Arial"/>
                <w:sz w:val="20"/>
                <w:szCs w:val="20"/>
                <w:lang w:val="en-US" w:eastAsia="zh-CN"/>
              </w:rPr>
              <w:t>(0.72 – 1.73)</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rPr>
            </w:pPr>
            <w:r>
              <w:rPr>
                <w:rFonts w:hint="default" w:ascii="Arial" w:hAnsi="Arial" w:cs="Arial"/>
                <w:sz w:val="20"/>
                <w:szCs w:val="20"/>
                <w:lang w:val="en-US" w:eastAsia="zh-CN"/>
              </w:rPr>
              <w:t>Accentuarea simptomelor</w:t>
            </w:r>
            <w:r>
              <w:rPr>
                <w:rFonts w:hint="default" w:ascii="Arial" w:hAnsi="Arial" w:cs="Arial"/>
                <w:sz w:val="20"/>
                <w:szCs w:val="20"/>
                <w:lang w:val="en" w:eastAsia="zh-CN"/>
              </w:rPr>
              <w:t xml:space="preserve"> </w:t>
            </w:r>
            <w:r>
              <w:rPr>
                <w:rFonts w:hint="default" w:ascii="Arial" w:hAnsi="Arial" w:cs="Arial"/>
                <w:sz w:val="20"/>
                <w:szCs w:val="20"/>
                <w:lang w:val="en-US" w:eastAsia="zh-CN"/>
              </w:rPr>
              <w:t>la stres</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3.96</w:t>
            </w:r>
            <w:r>
              <w:rPr>
                <w:rFonts w:hint="default" w:ascii="Arial" w:hAnsi="Arial" w:cs="Arial"/>
                <w:sz w:val="20"/>
                <w:szCs w:val="20"/>
                <w:lang w:val="en-US" w:eastAsia="zh-CN"/>
              </w:rPr>
              <w:br w:type="textWrapping"/>
            </w:r>
            <w:r>
              <w:rPr>
                <w:rFonts w:hint="default" w:ascii="Arial" w:hAnsi="Arial" w:cs="Arial"/>
                <w:sz w:val="20"/>
                <w:szCs w:val="20"/>
                <w:lang w:val="en-US" w:eastAsia="zh-CN"/>
              </w:rPr>
              <w:t>(0.88 – 29.01)</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0.107</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3.19</w:t>
            </w:r>
            <w:r>
              <w:rPr>
                <w:rFonts w:hint="default" w:ascii="Arial" w:hAnsi="Arial" w:cs="Arial"/>
                <w:sz w:val="20"/>
                <w:szCs w:val="20"/>
                <w:lang w:val="en-US" w:eastAsia="zh-CN"/>
              </w:rPr>
              <w:br w:type="textWrapping"/>
            </w:r>
            <w:r>
              <w:rPr>
                <w:rFonts w:hint="default" w:ascii="Arial" w:hAnsi="Arial" w:cs="Arial"/>
                <w:sz w:val="20"/>
                <w:szCs w:val="20"/>
                <w:lang w:val="en-US" w:eastAsia="zh-CN"/>
              </w:rPr>
              <w:t>(0.72 – 22.74)</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8" w:hRule="atLeast"/>
        </w:trPr>
        <w:tc>
          <w:tcPr>
            <w:tcW w:w="3782"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rPr>
            </w:pPr>
            <w:r>
              <w:rPr>
                <w:rFonts w:hint="default" w:ascii="Arial" w:hAnsi="Arial" w:cs="Arial"/>
                <w:sz w:val="20"/>
                <w:szCs w:val="20"/>
                <w:lang w:val="en-US" w:eastAsia="zh-CN"/>
              </w:rPr>
              <w:t>Alimente bogate în</w:t>
            </w:r>
            <w:r>
              <w:rPr>
                <w:rFonts w:hint="default" w:ascii="Arial" w:hAnsi="Arial" w:cs="Arial"/>
                <w:sz w:val="20"/>
                <w:szCs w:val="20"/>
                <w:lang w:val="en" w:eastAsia="zh-CN"/>
              </w:rPr>
              <w:t xml:space="preserve"> </w:t>
            </w:r>
            <w:r>
              <w:rPr>
                <w:rFonts w:hint="default" w:ascii="Arial" w:hAnsi="Arial" w:cs="Arial"/>
                <w:sz w:val="20"/>
                <w:szCs w:val="20"/>
                <w:lang w:val="en-US" w:eastAsia="zh-CN"/>
              </w:rPr>
              <w:t>grăsimi</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1.11</w:t>
            </w:r>
            <w:r>
              <w:rPr>
                <w:rFonts w:hint="default" w:ascii="Arial" w:hAnsi="Arial" w:cs="Arial"/>
                <w:sz w:val="20"/>
                <w:szCs w:val="20"/>
                <w:lang w:val="en-US" w:eastAsia="zh-CN"/>
              </w:rPr>
              <w:br w:type="textWrapping"/>
            </w:r>
            <w:r>
              <w:rPr>
                <w:rFonts w:hint="default" w:ascii="Arial" w:hAnsi="Arial" w:cs="Arial"/>
                <w:sz w:val="20"/>
                <w:szCs w:val="20"/>
                <w:lang w:val="en-US" w:eastAsia="zh-CN"/>
              </w:rPr>
              <w:t>(0.59 – 2.18)</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0.743</w:t>
            </w:r>
          </w:p>
        </w:tc>
        <w:tc>
          <w:tcPr>
            <w:tcW w:w="160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1.10</w:t>
            </w:r>
            <w:r>
              <w:rPr>
                <w:rFonts w:hint="default" w:ascii="Arial" w:hAnsi="Arial" w:cs="Arial"/>
                <w:sz w:val="20"/>
                <w:szCs w:val="20"/>
                <w:lang w:val="en-US" w:eastAsia="zh-CN"/>
              </w:rPr>
              <w:br w:type="textWrapping"/>
            </w:r>
            <w:r>
              <w:rPr>
                <w:rFonts w:hint="default" w:ascii="Arial" w:hAnsi="Arial" w:cs="Arial"/>
                <w:sz w:val="20"/>
                <w:szCs w:val="20"/>
                <w:lang w:val="en-US" w:eastAsia="zh-CN"/>
              </w:rPr>
              <w:t>(0.58 – 2.16)</w:t>
            </w:r>
          </w:p>
        </w:tc>
        <w:tc>
          <w:tcPr>
            <w:tcW w:w="668" w:type="dxa"/>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0.763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sz w:val="20"/>
                <w:szCs w:val="20"/>
              </w:rPr>
            </w:pPr>
            <w:r>
              <w:rPr>
                <w:rFonts w:hint="default" w:ascii="Arial" w:hAnsi="Arial" w:cs="Arial"/>
                <w:sz w:val="20"/>
                <w:szCs w:val="20"/>
                <w:lang w:val="en-US" w:eastAsia="zh-CN"/>
              </w:rPr>
              <w:t>Sex [F</w:t>
            </w:r>
            <w:r>
              <w:rPr>
                <w:rFonts w:hint="default" w:ascii="Arial" w:hAnsi="Arial" w:cs="Arial"/>
                <w:sz w:val="20"/>
                <w:szCs w:val="20"/>
                <w:lang w:val="en" w:eastAsia="zh-CN"/>
              </w:rPr>
              <w:t xml:space="preserve"> vs. M</w:t>
            </w:r>
            <w:r>
              <w:rPr>
                <w:rFonts w:hint="default" w:ascii="Arial" w:hAnsi="Arial" w:cs="Arial"/>
                <w:sz w:val="20"/>
                <w:szCs w:val="20"/>
                <w:lang w:val="en-US" w:eastAsia="zh-CN"/>
              </w:rPr>
              <w:t>]</w:t>
            </w:r>
          </w:p>
        </w:tc>
        <w:tc>
          <w:tcPr>
            <w:tcW w:w="160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0.72</w:t>
            </w:r>
            <w:r>
              <w:rPr>
                <w:rFonts w:hint="default" w:ascii="Arial" w:hAnsi="Arial" w:cs="Arial"/>
                <w:sz w:val="20"/>
                <w:szCs w:val="20"/>
                <w:lang w:val="en-US" w:eastAsia="zh-CN"/>
              </w:rPr>
              <w:br w:type="textWrapping"/>
            </w:r>
            <w:r>
              <w:rPr>
                <w:rFonts w:hint="default" w:ascii="Arial" w:hAnsi="Arial" w:cs="Arial"/>
                <w:sz w:val="20"/>
                <w:szCs w:val="20"/>
                <w:lang w:val="en-US" w:eastAsia="zh-CN"/>
              </w:rPr>
              <w:t>(0.17 – 3.26)</w:t>
            </w:r>
          </w:p>
        </w:tc>
        <w:tc>
          <w:tcPr>
            <w:tcW w:w="66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0.651</w:t>
            </w:r>
          </w:p>
        </w:tc>
        <w:tc>
          <w:tcPr>
            <w:tcW w:w="160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sz w:val="20"/>
                <w:szCs w:val="20"/>
              </w:rPr>
            </w:pPr>
            <w:r>
              <w:rPr>
                <w:rFonts w:hint="default" w:ascii="Arial" w:hAnsi="Arial" w:cs="Arial"/>
                <w:sz w:val="20"/>
                <w:szCs w:val="20"/>
                <w:lang w:val="en-US" w:eastAsia="zh-CN"/>
              </w:rPr>
              <w:t>0.55</w:t>
            </w:r>
            <w:r>
              <w:rPr>
                <w:rFonts w:hint="default" w:ascii="Arial" w:hAnsi="Arial" w:cs="Arial"/>
                <w:sz w:val="20"/>
                <w:szCs w:val="20"/>
                <w:lang w:val="en-US" w:eastAsia="zh-CN"/>
              </w:rPr>
              <w:br w:type="textWrapping"/>
            </w:r>
            <w:r>
              <w:rPr>
                <w:rFonts w:hint="default" w:ascii="Arial" w:hAnsi="Arial" w:cs="Arial"/>
                <w:sz w:val="20"/>
                <w:szCs w:val="20"/>
                <w:lang w:val="en-US" w:eastAsia="zh-CN"/>
              </w:rPr>
              <w:t>(0.14 – 2.33)</w:t>
            </w:r>
          </w:p>
        </w:tc>
        <w:tc>
          <w:tcPr>
            <w:tcW w:w="668" w:type="dxa"/>
            <w:tcBorders>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ascii="Arial" w:hAnsi="Arial" w:cs="Arial"/>
                <w:sz w:val="20"/>
                <w:szCs w:val="20"/>
              </w:rPr>
            </w:pPr>
            <w:r>
              <w:rPr>
                <w:rFonts w:hint="default" w:ascii="Arial" w:hAnsi="Arial" w:cs="Arial"/>
                <w:sz w:val="20"/>
                <w:szCs w:val="20"/>
                <w:lang w:val="en-US" w:eastAsia="zh-CN"/>
              </w:rPr>
              <w:t>0.397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4" w:type="dxa"/>
            <w:left w:w="14" w:type="dxa"/>
            <w:bottom w:w="14" w:type="dxa"/>
            <w:right w:w="14" w:type="dxa"/>
          </w:tblCellMar>
        </w:tblPrEx>
        <w:trPr>
          <w:trHeight w:val="288" w:hRule="atLeast"/>
        </w:trPr>
        <w:tc>
          <w:tcPr>
            <w:tcW w:w="3782" w:type="dxa"/>
            <w:tcBorders>
              <w:top w:val="single" w:color="auto" w:sz="8" w:space="0"/>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Arial" w:hAnsi="Arial" w:cs="Arial"/>
                <w:i/>
                <w:iCs/>
                <w:sz w:val="20"/>
                <w:szCs w:val="20"/>
              </w:rPr>
            </w:pPr>
            <w:r>
              <w:rPr>
                <w:rFonts w:hint="default" w:ascii="Arial" w:hAnsi="Arial" w:cs="Arial"/>
                <w:i/>
                <w:iCs/>
                <w:sz w:val="20"/>
                <w:szCs w:val="20"/>
                <w:lang w:val="en-US" w:eastAsia="zh-CN"/>
              </w:rPr>
              <w:t>R</w:t>
            </w:r>
            <w:r>
              <w:rPr>
                <w:rFonts w:hint="default" w:ascii="Arial" w:hAnsi="Arial" w:eastAsia="宋体" w:cs="Arial"/>
                <w:i/>
                <w:iCs/>
                <w:kern w:val="0"/>
                <w:sz w:val="20"/>
                <w:szCs w:val="20"/>
                <w:vertAlign w:val="superscript"/>
                <w:lang w:val="en-US" w:eastAsia="zh-CN" w:bidi="ar"/>
              </w:rPr>
              <w:t>2</w:t>
            </w:r>
            <w:r>
              <w:rPr>
                <w:rFonts w:hint="default" w:ascii="Arial" w:hAnsi="Arial" w:cs="Arial"/>
                <w:i/>
                <w:iCs/>
                <w:sz w:val="20"/>
                <w:szCs w:val="20"/>
                <w:lang w:val="en-US" w:eastAsia="zh-CN"/>
              </w:rPr>
              <w:t xml:space="preserve"> Tjur</w:t>
            </w:r>
          </w:p>
        </w:tc>
        <w:tc>
          <w:tcPr>
            <w:tcW w:w="2276" w:type="dxa"/>
            <w:gridSpan w:val="2"/>
            <w:tcBorders>
              <w:top w:val="single" w:color="auto" w:sz="8" w:space="0"/>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i/>
                <w:iCs/>
                <w:sz w:val="20"/>
                <w:szCs w:val="20"/>
              </w:rPr>
            </w:pPr>
            <w:r>
              <w:rPr>
                <w:rFonts w:hint="default" w:ascii="Arial" w:hAnsi="Arial" w:cs="Arial"/>
                <w:i/>
                <w:iCs/>
                <w:sz w:val="20"/>
                <w:szCs w:val="20"/>
                <w:lang w:val="en-US" w:eastAsia="zh-CN"/>
              </w:rPr>
              <w:t>0.150</w:t>
            </w:r>
          </w:p>
        </w:tc>
        <w:tc>
          <w:tcPr>
            <w:tcW w:w="2276" w:type="dxa"/>
            <w:gridSpan w:val="2"/>
            <w:tcBorders>
              <w:top w:val="single" w:color="auto" w:sz="8" w:space="0"/>
              <w:bottom w:val="single" w:color="auto" w:sz="8" w:space="0"/>
            </w:tcBorders>
            <w:shd w:val="clear"/>
            <w:vAlign w:val="center"/>
          </w:tcPr>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Arial" w:hAnsi="Arial" w:cs="Arial"/>
                <w:i/>
                <w:iCs/>
                <w:sz w:val="20"/>
                <w:szCs w:val="20"/>
              </w:rPr>
            </w:pPr>
            <w:r>
              <w:rPr>
                <w:rFonts w:hint="default" w:ascii="Arial" w:hAnsi="Arial" w:cs="Arial"/>
                <w:i/>
                <w:iCs/>
                <w:sz w:val="20"/>
                <w:szCs w:val="20"/>
                <w:lang w:val="en-US" w:eastAsia="zh-CN"/>
              </w:rPr>
              <w:t>0.104</w:t>
            </w:r>
          </w:p>
        </w:tc>
      </w:tr>
    </w:tbl>
    <w:p>
      <w:pPr>
        <w:keepNext w:val="0"/>
        <w:keepLines w:val="0"/>
        <w:pageBreakBefore w:val="0"/>
        <w:widowControl/>
        <w:kinsoku/>
        <w:wordWrap/>
        <w:overflowPunct/>
        <w:topLinePunct w:val="0"/>
        <w:autoSpaceDE/>
        <w:autoSpaceDN/>
        <w:bidi w:val="0"/>
        <w:adjustRightInd/>
        <w:snapToGrid/>
        <w:spacing w:line="240" w:lineRule="auto"/>
        <w:rPr>
          <w:rFonts w:hint="default" w:ascii="Arial" w:hAnsi="Arial" w:cs="Arial"/>
          <w:sz w:val="20"/>
          <w:szCs w:val="20"/>
        </w:rPr>
      </w:pPr>
    </w:p>
    <w:p>
      <w:pPr>
        <w:keepNext w:val="0"/>
        <w:keepLines w:val="0"/>
        <w:pageBreakBefore w:val="0"/>
        <w:widowControl/>
        <w:kinsoku/>
        <w:wordWrap/>
        <w:overflowPunct/>
        <w:topLinePunct w:val="0"/>
        <w:autoSpaceDE/>
        <w:autoSpaceDN/>
        <w:bidi w:val="0"/>
        <w:adjustRightInd/>
        <w:snapToGrid/>
        <w:spacing w:line="240" w:lineRule="auto"/>
      </w:pPr>
      <w:r>
        <w:drawing>
          <wp:inline distT="0" distB="0" distL="114300" distR="11430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a:stretch>
                      <a:fillRect/>
                    </a:stretch>
                  </pic:blipFill>
                  <pic:spPr>
                    <a:xfrm>
                      <a:off x="0" y="0"/>
                      <a:ext cx="4572000" cy="4572000"/>
                    </a:xfrm>
                    <a:prstGeom prst="rect">
                      <a:avLst/>
                    </a:prstGeom>
                    <a:noFill/>
                    <a:ln>
                      <a:noFill/>
                    </a:ln>
                  </pic:spPr>
                </pic:pic>
              </a:graphicData>
            </a:graphic>
          </wp:inline>
        </w:drawing>
      </w:r>
    </w:p>
    <w:p>
      <w:pPr>
        <w:pStyle w:val="4"/>
        <w:keepNext w:val="0"/>
        <w:keepLines w:val="0"/>
        <w:pageBreakBefore w:val="0"/>
        <w:widowControl/>
        <w:kinsoku/>
        <w:wordWrap/>
        <w:overflowPunct/>
        <w:topLinePunct w:val="0"/>
        <w:autoSpaceDE/>
        <w:autoSpaceDN/>
        <w:bidi w:val="0"/>
        <w:adjustRightInd/>
        <w:snapToGrid/>
        <w:spacing w:line="240" w:lineRule="auto"/>
        <w:rPr>
          <w:rFonts w:hint="default"/>
          <w:lang w:val="en"/>
        </w:rPr>
      </w:pPr>
      <w:r>
        <w:t>Figu</w:t>
      </w:r>
      <w:r>
        <w:rPr>
          <w:rFonts w:hint="default"/>
          <w:lang w:val="en"/>
        </w:rPr>
        <w:t>ra</w:t>
      </w:r>
      <w:r>
        <w:t xml:space="preserve"> </w:t>
      </w:r>
      <w:r>
        <w:fldChar w:fldCharType="begin"/>
      </w:r>
      <w:r>
        <w:instrText xml:space="preserve"> SEQ Figure \* ARABIC </w:instrText>
      </w:r>
      <w:r>
        <w:fldChar w:fldCharType="separate"/>
      </w:r>
      <w:r>
        <w:t>1</w:t>
      </w:r>
      <w:r>
        <w:fldChar w:fldCharType="end"/>
      </w:r>
      <w:r>
        <w:rPr>
          <w:rFonts w:hint="default"/>
          <w:lang w:val="en"/>
        </w:rPr>
        <w:t>: Rezultatele regresiilor logistice pentru diagnosticele de dispepsie nediagnosticată și de intestin iritabil. Graficul include OR (cu IC95%), pentru modelele binare și cantitative. Valorile semnificative statistic sunt marcate de puncte pline.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3270Medium Nerd Font">
    <w:panose1 w:val="02000609000000000000"/>
    <w:charset w:val="00"/>
    <w:family w:val="auto"/>
    <w:pitch w:val="default"/>
    <w:sig w:usb0="A00002AF" w:usb1="5200F9FB" w:usb2="02004030" w:usb3="00000000" w:csb0="6000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B35E2"/>
    <w:rsid w:val="DFF7DA4E"/>
    <w:rsid w:val="FF17DBCD"/>
    <w:rsid w:val="FF7B3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2020-02-29T21:25:00Z</dcterms:created>
  <dc:creator>calzzone</dc:creator>
  <cp:lastModifiedBy>calzzone</cp:lastModifiedBy>
  <dcterms:modified xsi:type="dcterms:W3CDTF">2020-02-29T22:08:26Z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