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40.png" ContentType="image/png"/>
  <Override PartName="/word/media/rId41.png" ContentType="image/png"/>
  <Override PartName="/word/media/rId42.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28.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29.png" ContentType="image/png"/>
  <Override PartName="/word/media/rId31.png" ContentType="image/png"/>
  <Override PartName="/word/media/rId32.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 ContentType="application/octet-stream"/>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19"/>
      </w:pPr>
      <w:r>
        <w:t xml:space="preserve">Graduation</w:t>
      </w:r>
      <w:r>
        <w:t xml:space="preserve"> </w:t>
      </w:r>
      <w:r>
        <w:t xml:space="preserve">Thesis</w:t>
      </w:r>
    </w:p>
    <w:p>
      <w:pPr>
        <w:pStyle w:val="18"/>
      </w:pPr>
      <w:r>
        <w:t xml:space="preserve">Graduation</w:t>
      </w:r>
      <w:r>
        <w:t xml:space="preserve"> </w:t>
      </w:r>
      <w:r>
        <w:t xml:space="preserve">Thesis</w:t>
      </w:r>
    </w:p>
    <w:p>
      <w:pPr>
        <w:pStyle w:val="32"/>
      </w:pPr>
      <w:r>
        <w:t xml:space="preserve">Regine</w:t>
      </w:r>
      <w:r>
        <w:t xml:space="preserve"> </w:t>
      </w:r>
      <w:r>
        <w:t xml:space="preserve">Besinger</w:t>
      </w:r>
    </w:p>
    <w:sdt>
      <w:sdtPr>
        <w:docPartObj>
          <w:docPartGallery w:val="Table of Contents"/>
          <w:docPartUnique/>
        </w:docPartObj>
      </w:sdtPr>
      <w:sdtContent>
        <w:p>
          <w:pPr>
            <w:pStyle w:val="43"/>
          </w:pPr>
          <w:r>
            <w:t xml:space="preserve">Table of Contents</w:t>
          </w:r>
        </w:p>
        <w:p>
          <w:r>
            <w:fldChar w:fldCharType="begin" w:dirty="true"/>
            <w:instrText xml:space="preserve">TOC \o "1-3" \h \z \u</w:instrText>
            <w:fldChar w:fldCharType="separate"/>
            <w:fldChar w:fldCharType="end"/>
          </w:r>
        </w:p>
      </w:sdtContent>
    </w:sdt>
    <w:p>
      <w:pPr>
        <w:pStyle w:val="2"/>
      </w:pPr>
      <w:bookmarkStart w:id="20" w:name="general-part"/>
      <w:r>
        <w:t xml:space="preserve">General part</w:t>
      </w:r>
      <w:bookmarkEnd w:id="20"/>
    </w:p>
    <w:p>
      <w:pPr>
        <w:pStyle w:val="2"/>
      </w:pPr>
      <w:bookmarkStart w:id="21" w:name="special-part"/>
      <w:r>
        <w:t xml:space="preserve">Special part</w:t>
      </w:r>
      <w:bookmarkEnd w:id="21"/>
    </w:p>
    <w:p>
      <w:pPr>
        <w:pStyle w:val="3"/>
      </w:pPr>
      <w:bookmarkStart w:id="22" w:name="introduction"/>
      <w:r>
        <w:t xml:space="preserve">Introduction</w:t>
      </w:r>
      <w:bookmarkEnd w:id="22"/>
    </w:p>
    <w:p>
      <w:pPr>
        <w:pStyle w:val="4"/>
      </w:pPr>
      <w:bookmarkStart w:id="23" w:name="objectives"/>
      <w:r>
        <w:t xml:space="preserve">Objectives</w:t>
      </w:r>
      <w:bookmarkEnd w:id="23"/>
    </w:p>
    <w:p>
      <w:pPr>
        <w:pStyle w:val="3"/>
      </w:pPr>
      <w:bookmarkStart w:id="24" w:name="methods"/>
      <w:r>
        <w:t xml:space="preserve">Methods</w:t>
      </w:r>
      <w:bookmarkEnd w:id="24"/>
    </w:p>
    <w:p>
      <w:pPr>
        <w:pStyle w:val="4"/>
      </w:pPr>
      <w:bookmarkStart w:id="25" w:name="statisitcal-analysis-of-the-data"/>
      <w:r>
        <w:t xml:space="preserve">Statisitcal analysis of the data</w:t>
      </w:r>
      <w:bookmarkEnd w:id="25"/>
    </w:p>
    <w:p>
      <w:pPr>
        <w:pStyle w:val="30"/>
      </w:pPr>
      <w:r>
        <w:t xml:space="preserve">To describe the quantitative variables, we used histograms and we calculated the arithmetic means ±standard deviation (SD) [with 95% confidence interval (CI)], as well as the extreme and median values.</w:t>
      </w:r>
      <w:r>
        <w:t xml:space="preserve"> </w:t>
      </w:r>
      <w:r>
        <w:t xml:space="preserve">For the qualitative variables, we used pie or bar charts and calculated the absolute and percentual frequencies of the formed categories.</w:t>
      </w:r>
    </w:p>
    <w:p>
      <w:pPr>
        <w:pStyle w:val="12"/>
      </w:pPr>
      <w:r>
        <w:t xml:space="preserve">To study the relationships between quantitative and qualitative variables, we used the T or Mann-Whitney (MW) tests if they were binary, respectively ANOVA or Kruskal-Wallis (KW) if they had more categories. We presented the p values generated by these tests as well as the means ±SD of the groups and the difference of the means with associated 95% CI. We graphically presented the results in the form of box plots.</w:t>
      </w:r>
      <w:r>
        <w:t xml:space="preserve"> </w:t>
      </w:r>
      <w:r>
        <w:t xml:space="preserve">To study the relationships between the quantitative variables we used the Spearman correlation coefficient (R), with the associated p-value and graphically presented the relations as scatter plots, on which we added the regression line.</w:t>
      </w:r>
      <w:r>
        <w:t xml:space="preserve"> </w:t>
      </w:r>
      <w:r>
        <w:t xml:space="preserve">To describe the relationships between the qualitative variables we used the Chi² or Fisher test and the Cramer phi or V and Odds-Ratio (OR) / Relative Risk (RR) indicators with 95% CI. We graphically presented the results in the form of pie or bar charts.</w:t>
      </w:r>
    </w:p>
    <w:p>
      <w:pPr>
        <w:pStyle w:val="12"/>
      </w:pPr>
      <w:r>
        <w:t xml:space="preserve">We used Microsoft Excel 2016 for database management. For all statistical analyzes and subsequent graphs we used R 3.6.2 [1]. We considered p &lt;0.05 to be statistically significant and p &lt;0.10 to show only a tendency towards statistical significance.</w:t>
      </w:r>
    </w:p>
    <w:p>
      <w:pPr>
        <w:pStyle w:val="3"/>
      </w:pPr>
      <w:bookmarkStart w:id="26" w:name="results"/>
      <w:r>
        <w:t xml:space="preserve">Results</w:t>
      </w:r>
      <w:bookmarkEnd w:id="26"/>
    </w:p>
    <w:p>
      <w:pPr>
        <w:pStyle w:val="4"/>
      </w:pPr>
      <w:bookmarkStart w:id="27" w:name="demographics"/>
      <w:r>
        <w:t xml:space="preserve">Demographics</w:t>
      </w:r>
      <w:bookmarkEnd w:id="27"/>
    </w:p>
    <w:p>
      <w:pPr>
        <w:pStyle w:val="30"/>
      </w:pPr>
      <w:r>
        <w:t xml:space="preserve">A total of 372 patients were includen din the study, of whom 60% were men. Age had values between 25 and 94 years old (median = 69) with a mean of 66.47 ±12.9 years old. Women were approximatively 5.36 years older on average than men (Mann-Whitney test: p&lt;0.001).</w:t>
      </w:r>
    </w:p>
    <w:p>
      <w:pPr>
        <w:pStyle w:val="12"/>
      </w:pPr>
      <w:r>
        <w:t xml:space="preserve">Table 1: Demographic parameters of the sample.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300"/>
        <w:gridCol w:w="1378"/>
        <w:gridCol w:w="1433"/>
      </w:tblGrid>
      <w:tr>
        <w:trPr>
          <w:cantSplit/>
          <w:trHeight w:val="288" w:hRule="auto"/>
          <w:tblHeader/>
        </w:trPr>
        <w:tc>
          <w:tcPr>
            <w:tcBorders>
              <w:bottom w:val="single" w:sz="16" w:space="0" w:color="000000"/>
              <w:top w:val="single" w:sz="16"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Variable</w:t>
            </w:r>
          </w:p>
        </w:tc>
        <w:tc>
          <w:tcPr>
            <w:tcBorders>
              <w:bottom w:val="single" w:sz="16" w:space="0" w:color="000000"/>
              <w:top w:val="single" w:sz="16"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Details</w:t>
            </w:r>
          </w:p>
        </w:tc>
        <w:tc>
          <w:tcPr>
            <w:tcBorders>
              <w:bottom w:val="single" w:sz="16" w:space="0" w:color="000000"/>
              <w:top w:val="single" w:sz="16"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Total</w:t>
            </w:r>
          </w:p>
        </w:tc>
      </w:tr>
      <w:tr>
        <w:trPr>
          <w:cantSplit/>
          <w:trHeight w:val="288" w:hRule="auto"/>
        </w:trPr>
        <w:tc>
          <w:tcPr>
            <w:tcBorders>
              <w:bottom w:val="single"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N=</w:t>
            </w:r>
          </w:p>
        </w:tc>
        <w:tc>
          <w:tcPr>
            <w:tcBorders>
              <w:bottom w:val="single"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
            </w:r>
          </w:p>
        </w:tc>
        <w:tc>
          <w:tcPr>
            <w:tcBorders>
              <w:bottom w:val="single"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372</w:t>
            </w:r>
          </w:p>
        </w:tc>
      </w:tr>
      <w:tr>
        <w:trPr>
          <w:cantSplit/>
          <w:trHeight w:val="288" w:hRule="auto"/>
        </w:trPr>
        <w:tc>
          <w:tcPr>
            <w:vMerge w:val="restart"/>
            <w:tcBorders>
              <w:bottom w:val="dashed" w:sz="8" w:space="0" w:color="000000"/>
              <w:top w:val="single"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Age groups</w:t>
            </w:r>
          </w:p>
        </w:tc>
        <w:tc>
          <w:tcPr>
            <w:tcBorders>
              <w:bottom w:val="nil"/>
              <w:top w:val="single"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bottom w:val="nil"/>
              <w:top w:val="single"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38 (10.2%)</w:t>
            </w:r>
          </w:p>
        </w:tc>
      </w:tr>
      <w:tr>
        <w:trPr>
          <w:cantSplit/>
          <w:trHeight w:val="288" w:hRule="auto"/>
        </w:trPr>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51-69</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161 (43.4%)</w:t>
            </w: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172 (46.4%)</w:t>
            </w: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Age (years)</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66.47 ±12.9</w:t>
            </w: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 (25:94)</w:t>
            </w: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Sex</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F</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151 (40.6%)</w:t>
            </w: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221 (59.4%)</w:t>
            </w: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Height (cm)</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168.70 ±13.6</w:t>
            </w: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170 (70:193)</w:t>
            </w:r>
          </w:p>
        </w:tc>
      </w:tr>
      <w:tr>
        <w:trPr>
          <w:cantSplit/>
          <w:trHeight w:val="288" w:hRule="auto"/>
        </w:trPr>
        <w:tc>
          <w:tcPr>
            <w:vMerge w:val="restart"/>
            <w:tcBorders>
              <w:bottom w:val="single" w:sz="16"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Weight (kg)</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81.91 ±18.2</w:t>
            </w:r>
          </w:p>
        </w:tc>
      </w:tr>
      <w:tr>
        <w:trPr>
          <w:cantSplit/>
          <w:trHeight w:val="288" w:hRule="auto"/>
        </w:trPr>
        <w:tc>
          <w:tcPr>
            <w:vMerge/>
            <w:tcBorders>
              <w:bottom w:val="single" w:sz="16"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single" w:sz="16"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single" w:sz="16"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 (40:178)</w:t>
            </w:r>
          </w:p>
        </w:tc>
      </w:tr>
      <w:tr>
        <w:trPr>
          <w:cantSplit/>
          <w:trHeight w:val="288" w:hRule="auto"/>
        </w:trPr>
        <w:tc>
          <w:tcPr>
            <w:gridSpan w:val="3"/>
            <w:tcBorders>
              <w:bottom w:val="single"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000000"/>
              </w:rPr>
              <w:t xml:space="preserve">μ ±SD = Mean (standard deviation); M (min:max) = Median (min:max); </w:t>
            </w:r>
          </w:p>
        </w:tc>
      </w:tr>
    </w:tbl>
    <w:p>
      <w:pPr>
        <w:pStyle w:val="12"/>
      </w:pPr>
      <w:r>
        <w:drawing>
          <wp:inline>
            <wp:extent cx="4603972" cy="2301986"/>
            <wp:effectExtent b="0" l="0" r="0" t="0"/>
            <wp:docPr descr="" title="" id="1" name="Picture"/>
            <a:graphic>
              <a:graphicData uri="http://schemas.openxmlformats.org/drawingml/2006/picture">
                <pic:pic>
                  <pic:nvPicPr>
                    <pic:cNvPr descr="regine_besinger_files/figure-docx/unnamed-chunk-2-1.png" id="0" name="Picture"/>
                    <pic:cNvPicPr>
                      <a:picLocks noChangeArrowheads="1" noChangeAspect="1"/>
                    </pic:cNvPicPr>
                  </pic:nvPicPr>
                  <pic:blipFill>
                    <a:blip r:embed="rId28"/>
                    <a:stretch>
                      <a:fillRect/>
                    </a:stretch>
                  </pic:blipFill>
                  <pic:spPr bwMode="auto">
                    <a:xfrm>
                      <a:off x="0" y="0"/>
                      <a:ext cx="4603972" cy="2301986"/>
                    </a:xfrm>
                    <a:prstGeom prst="rect">
                      <a:avLst/>
                    </a:prstGeom>
                    <a:noFill/>
                    <a:ln w="9525">
                      <a:noFill/>
                      <a:headEnd/>
                      <a:tailEnd/>
                    </a:ln>
                  </pic:spPr>
                </pic:pic>
              </a:graphicData>
            </a:graphic>
          </wp:inline>
        </w:drawing>
      </w:r>
    </w:p>
    <w:p>
      <w:pPr>
        <w:pStyle w:val="12"/>
      </w:pPr>
      <w:r>
        <w:t xml:space="preserve">Figure 1: Sex and age groups distribution.</w:t>
      </w:r>
    </w:p>
    <w:p>
      <w:pPr>
        <w:pStyle w:val="12"/>
      </w:pPr>
      <w:r>
        <w:drawing>
          <wp:inline>
            <wp:extent cx="4603972" cy="2762383"/>
            <wp:effectExtent b="0" l="0" r="0" t="0"/>
            <wp:docPr descr="" title="" id="1" name="Picture"/>
            <a:graphic>
              <a:graphicData uri="http://schemas.openxmlformats.org/drawingml/2006/picture">
                <pic:pic>
                  <pic:nvPicPr>
                    <pic:cNvPr descr="regine_besinger_files/figure-docx/unnamed-chunk-3-1.png" id="0" name="Picture"/>
                    <pic:cNvPicPr>
                      <a:picLocks noChangeArrowheads="1" noChangeAspect="1"/>
                    </pic:cNvPicPr>
                  </pic:nvPicPr>
                  <pic:blipFill>
                    <a:blip r:embed="rId29"/>
                    <a:stretch>
                      <a:fillRect/>
                    </a:stretch>
                  </pic:blipFill>
                  <pic:spPr bwMode="auto">
                    <a:xfrm>
                      <a:off x="0" y="0"/>
                      <a:ext cx="4603972" cy="2762383"/>
                    </a:xfrm>
                    <a:prstGeom prst="rect">
                      <a:avLst/>
                    </a:prstGeom>
                    <a:noFill/>
                    <a:ln w="9525">
                      <a:noFill/>
                      <a:headEnd/>
                      <a:tailEnd/>
                    </a:ln>
                  </pic:spPr>
                </pic:pic>
              </a:graphicData>
            </a:graphic>
          </wp:inline>
        </w:drawing>
      </w:r>
    </w:p>
    <w:p>
      <w:pPr>
        <w:pStyle w:val="12"/>
      </w:pPr>
      <w:r>
        <w:t xml:space="preserve">Figure 2: Age distribution, at admission, colored by sex. (| mean, ¦ median).</w:t>
      </w:r>
    </w:p>
    <w:p>
      <w:pPr>
        <w:pStyle w:val="4"/>
      </w:pPr>
      <w:bookmarkStart w:id="30" w:name="durations"/>
      <w:r>
        <w:t xml:space="preserve">Durations</w:t>
      </w:r>
      <w:bookmarkEnd w:id="30"/>
    </w:p>
    <w:p>
      <w:pPr>
        <w:pStyle w:val="30"/>
      </w:pPr>
      <w:r>
        <w:t xml:space="preserve">Time onset - presentation (hours) (N=371) a avut valori între -0.133 și 3.95 (mediana: 1.617) cu o medie de 1.76 ±0.82.</w:t>
      </w:r>
    </w:p>
    <w:p>
      <w:pPr>
        <w:pStyle w:val="12"/>
      </w:pPr>
      <w:r>
        <w:t xml:space="preserve">Time onset - cerebral CT (hours) (N=370) a avut valori între 0 și 4.417 (mediana: 2.075) cu o medie de 2.15 ±0.83.</w:t>
      </w:r>
    </w:p>
    <w:p>
      <w:pPr>
        <w:pStyle w:val="12"/>
      </w:pPr>
      <w:r>
        <w:t xml:space="preserve">Time onset - analyses results (hours) (N=369) a avut valori între 0 și 4.55 (mediana: 2.317) cu o medie de 2.35 ±0.838.</w:t>
      </w:r>
    </w:p>
    <w:p>
      <w:pPr>
        <w:pStyle w:val="12"/>
      </w:pPr>
      <w:r>
        <w:t xml:space="preserve">Time onset - treatment start (hours) (N=371) a avut valori între 0 și 4.5 (mediana: 2.8) cu o medie de 2.76 ±0.824.</w:t>
      </w:r>
    </w:p>
    <w:p>
      <w:pPr>
        <w:pStyle w:val="12"/>
      </w:pPr>
      <w:r>
        <w:t xml:space="preserve">Time presentation - treatment start (hours) (N=371) a avut valori între 0.133 și 3.5 (mediana: 0.95) cu o medie de 1.02 ±0.479.</w:t>
      </w:r>
    </w:p>
    <w:p>
      <w:pPr>
        <w:pStyle w:val="12"/>
      </w:pPr>
      <w:r>
        <w:t xml:space="preserve">It took up to 4 hours after clinical onset for patients to present to the emergency unit, with a median of 1.6 hours. Then, it further took up to 3.5 hours to initiate fibrinolytic treatment (median=1 hour), for a total of up to 4.5 hours between onset to treatment (median=2.8 hours).</w:t>
      </w:r>
    </w:p>
    <w:p>
      <w:pPr>
        <w:pStyle w:val="12"/>
      </w:pPr>
      <w:r>
        <w:t xml:space="preserve">Only 5% of the patients started treatment after more than 2 hours after presentaion.</w:t>
      </w:r>
    </w:p>
    <w:p>
      <w:pPr>
        <w:pStyle w:val="12"/>
      </w:pPr>
      <w:r>
        <w:t xml:space="preserve">CT imaging and laboratory analyses took up to 4.5 hours to complete (medians of 2.3 and 2.1 hours).</w:t>
      </w:r>
    </w:p>
    <w:p>
      <w:pPr>
        <w:pStyle w:val="12"/>
      </w:pPr>
      <w:r>
        <w:t xml:space="preserve">Table 2: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5503"/>
        <w:gridCol w:w="1378"/>
        <w:gridCol w:w="1745"/>
      </w:tblGrid>
      <w:tr>
        <w:trPr>
          <w:cantSplit/>
          <w:trHeight w:val="288" w:hRule="auto"/>
          <w:tblHeader/>
        </w:trPr>
        <w:tc>
          <w:tcPr>
            <w:tcBorders>
              <w:bottom w:val="single" w:sz="16" w:space="0" w:color="000000"/>
              <w:top w:val="single" w:sz="16"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Variable</w:t>
            </w:r>
          </w:p>
        </w:tc>
        <w:tc>
          <w:tcPr>
            <w:tcBorders>
              <w:bottom w:val="single" w:sz="16" w:space="0" w:color="000000"/>
              <w:top w:val="single" w:sz="16"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Details</w:t>
            </w:r>
          </w:p>
        </w:tc>
        <w:tc>
          <w:tcPr>
            <w:tcBorders>
              <w:bottom w:val="single" w:sz="16" w:space="0" w:color="000000"/>
              <w:top w:val="single" w:sz="16"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Total</w:t>
            </w:r>
          </w:p>
        </w:tc>
      </w:tr>
      <w:tr>
        <w:trPr>
          <w:cantSplit/>
          <w:trHeight w:val="288" w:hRule="auto"/>
        </w:trPr>
        <w:tc>
          <w:tcPr>
            <w:tcBorders>
              <w:bottom w:val="single"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N=</w:t>
            </w:r>
          </w:p>
        </w:tc>
        <w:tc>
          <w:tcPr>
            <w:tcBorders>
              <w:bottom w:val="single"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
            </w:r>
          </w:p>
        </w:tc>
        <w:tc>
          <w:tcPr>
            <w:tcBorders>
              <w:bottom w:val="single"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372</w:t>
            </w:r>
          </w:p>
        </w:tc>
      </w:tr>
      <w:tr>
        <w:trPr>
          <w:cantSplit/>
          <w:trHeight w:val="288" w:hRule="auto"/>
        </w:trPr>
        <w:tc>
          <w:tcPr>
            <w:vMerge w:val="restart"/>
            <w:tcBorders>
              <w:bottom w:val="dashed" w:sz="8" w:space="0" w:color="000000"/>
              <w:top w:val="single"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 onset - presentation (hours)</w:t>
            </w:r>
          </w:p>
        </w:tc>
        <w:tc>
          <w:tcPr>
            <w:tcBorders>
              <w:bottom w:val="nil"/>
              <w:top w:val="single"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bottom w:val="nil"/>
              <w:top w:val="single"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1.76 ±0.82</w:t>
            </w: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 (-0.13:3.95)</w:t>
            </w: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 onset - cerebral CT (hours)</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2.15 ±0.83</w:t>
            </w: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2.08 (0:4.42)</w:t>
            </w: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 onset - analyses results (hours)</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2.35 ±0.838</w:t>
            </w: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2.32 (0:4.55)</w:t>
            </w: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 onset - treatment start (hours)</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2.76 ±0.824</w:t>
            </w: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 (0:4.5)</w:t>
            </w: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 presentation - treatment start (hours)</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 ±0.479</w:t>
            </w: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0.95 (0.13:3.5)</w:t>
            </w:r>
          </w:p>
        </w:tc>
      </w:tr>
      <w:tr>
        <w:trPr>
          <w:cantSplit/>
          <w:trHeight w:val="288" w:hRule="auto"/>
        </w:trPr>
        <w:tc>
          <w:tcPr>
            <w:gridSpan w:val="2"/>
            <w:tcBorders>
              <w:bottom w:val="single" w:sz="16"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Long interval: presentation - treatment start (other reasons)</w:t>
            </w:r>
          </w:p>
        </w:tc>
        <w:tc>
          <w:tcPr>
            <w:tcBorders>
              <w:bottom w:val="single" w:sz="16"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 (4.6%)</w:t>
            </w:r>
          </w:p>
        </w:tc>
      </w:tr>
      <w:tr>
        <w:trPr>
          <w:cantSplit/>
          <w:trHeight w:val="288" w:hRule="auto"/>
        </w:trPr>
        <w:tc>
          <w:tcPr>
            <w:gridSpan w:val="3"/>
            <w:tcBorders>
              <w:bottom w:val="single"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000000"/>
              </w:rPr>
              <w:t xml:space="preserve">μ ±SD = Mean (standard deviation); M (min:max) = Median (min:max); </w:t>
            </w:r>
          </w:p>
        </w:tc>
      </w:tr>
    </w:tbl>
    <w:p>
      <w:pPr>
        <w:pStyle w:val="12"/>
      </w:pPr>
      <w:r>
        <w:t xml:space="preserve">Figure 3: .</w:t>
      </w:r>
    </w:p>
    <w:p>
      <w:pPr>
        <w:pStyle w:val="12"/>
      </w:pPr>
      <w:r>
        <w:drawing>
          <wp:inline>
            <wp:extent cx="4603972" cy="2762383"/>
            <wp:effectExtent b="0" l="0" r="0" t="0"/>
            <wp:docPr descr="" title="" id="1" name="Picture"/>
            <a:graphic>
              <a:graphicData uri="http://schemas.openxmlformats.org/drawingml/2006/picture">
                <pic:pic>
                  <pic:nvPicPr>
                    <pic:cNvPr descr="regine_besinger_files/figure-docx/unnamed-chunk-5-1.png" id="0" name="Picture"/>
                    <pic:cNvPicPr>
                      <a:picLocks noChangeArrowheads="1" noChangeAspect="1"/>
                    </pic:cNvPicPr>
                  </pic:nvPicPr>
                  <pic:blipFill>
                    <a:blip r:embed="rId31"/>
                    <a:stretch>
                      <a:fillRect/>
                    </a:stretch>
                  </pic:blipFill>
                  <pic:spPr bwMode="auto">
                    <a:xfrm>
                      <a:off x="0" y="0"/>
                      <a:ext cx="4603972" cy="2762383"/>
                    </a:xfrm>
                    <a:prstGeom prst="rect">
                      <a:avLst/>
                    </a:prstGeom>
                    <a:noFill/>
                    <a:ln w="9525">
                      <a:noFill/>
                      <a:headEnd/>
                      <a:tailEnd/>
                    </a:ln>
                  </pic:spPr>
                </pic:pic>
              </a:graphicData>
            </a:graphic>
          </wp:inline>
        </w:drawing>
      </w:r>
    </w:p>
    <w:p>
      <w:pPr>
        <w:pStyle w:val="12"/>
      </w:pPr>
      <w:r>
        <w:drawing>
          <wp:inline>
            <wp:extent cx="4603972" cy="3683177"/>
            <wp:effectExtent b="0" l="0" r="0" t="0"/>
            <wp:docPr descr="" title="" id="1" name="Picture"/>
            <a:graphic>
              <a:graphicData uri="http://schemas.openxmlformats.org/drawingml/2006/picture">
                <pic:pic>
                  <pic:nvPicPr>
                    <pic:cNvPr descr="regine_besinger_files/figure-docx/unnamed-chunk-6-1.png" id="0" name="Picture"/>
                    <pic:cNvPicPr>
                      <a:picLocks noChangeArrowheads="1" noChangeAspect="1"/>
                    </pic:cNvPicPr>
                  </pic:nvPicPr>
                  <pic:blipFill>
                    <a:blip r:embed="rId32"/>
                    <a:stretch>
                      <a:fillRect/>
                    </a:stretch>
                  </pic:blipFill>
                  <pic:spPr bwMode="auto">
                    <a:xfrm>
                      <a:off x="0" y="0"/>
                      <a:ext cx="4603972" cy="3683177"/>
                    </a:xfrm>
                    <a:prstGeom prst="rect">
                      <a:avLst/>
                    </a:prstGeom>
                    <a:noFill/>
                    <a:ln w="9525">
                      <a:noFill/>
                      <a:headEnd/>
                      <a:tailEnd/>
                    </a:ln>
                  </pic:spPr>
                </pic:pic>
              </a:graphicData>
            </a:graphic>
          </wp:inline>
        </w:drawing>
      </w:r>
    </w:p>
    <w:p>
      <w:pPr>
        <w:pStyle w:val="4"/>
      </w:pPr>
      <w:bookmarkStart w:id="33" w:name="scores"/>
      <w:r>
        <w:t xml:space="preserve">Scores</w:t>
      </w:r>
      <w:bookmarkEnd w:id="33"/>
    </w:p>
    <w:p>
      <w:pPr>
        <w:pStyle w:val="30"/>
      </w:pPr>
      <w:r>
        <w:t xml:space="preserve">Table 3: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2601"/>
        <w:gridCol w:w="1378"/>
        <w:gridCol w:w="1322"/>
      </w:tblGrid>
      <w:tr>
        <w:trPr>
          <w:cantSplit/>
          <w:trHeight w:val="288" w:hRule="auto"/>
          <w:tblHeader/>
        </w:trPr>
        <w:tc>
          <w:tcPr>
            <w:tcBorders>
              <w:bottom w:val="single" w:sz="16" w:space="0" w:color="000000"/>
              <w:top w:val="single" w:sz="16"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Variable</w:t>
            </w:r>
          </w:p>
        </w:tc>
        <w:tc>
          <w:tcPr>
            <w:tcBorders>
              <w:bottom w:val="single" w:sz="16" w:space="0" w:color="000000"/>
              <w:top w:val="single" w:sz="16"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Details</w:t>
            </w:r>
          </w:p>
        </w:tc>
        <w:tc>
          <w:tcPr>
            <w:tcBorders>
              <w:bottom w:val="single" w:sz="16" w:space="0" w:color="000000"/>
              <w:top w:val="single" w:sz="16"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Total</w:t>
            </w:r>
          </w:p>
        </w:tc>
      </w:tr>
      <w:tr>
        <w:trPr>
          <w:cantSplit/>
          <w:trHeight w:val="288" w:hRule="auto"/>
        </w:trPr>
        <w:tc>
          <w:tcPr>
            <w:tcBorders>
              <w:bottom w:val="single"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N=</w:t>
            </w:r>
          </w:p>
        </w:tc>
        <w:tc>
          <w:tcPr>
            <w:tcBorders>
              <w:bottom w:val="single"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
            </w:r>
          </w:p>
        </w:tc>
        <w:tc>
          <w:tcPr>
            <w:tcBorders>
              <w:bottom w:val="single"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372</w:t>
            </w:r>
          </w:p>
        </w:tc>
      </w:tr>
      <w:tr>
        <w:trPr>
          <w:cantSplit/>
          <w:trHeight w:val="288" w:hRule="auto"/>
        </w:trPr>
        <w:tc>
          <w:tcPr>
            <w:vMerge w:val="restart"/>
            <w:tcBorders>
              <w:bottom w:val="dashed" w:sz="8" w:space="0" w:color="000000"/>
              <w:top w:val="single"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NIHSS score at admission</w:t>
            </w:r>
          </w:p>
        </w:tc>
        <w:tc>
          <w:tcPr>
            <w:tcBorders>
              <w:bottom w:val="nil"/>
              <w:top w:val="single"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bottom w:val="nil"/>
              <w:top w:val="single"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11.77 ±5.7</w:t>
            </w: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 (0:31)</w:t>
            </w: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NIHSS score at 1 hour</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10.11 ±6.54</w:t>
            </w: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 (0:38)</w:t>
            </w: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NIHSS score at 2 hours</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9.37 ±6.84</w:t>
            </w: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 (0:48)</w:t>
            </w: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NIHSS score at 24 hours</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8.48 ±7.67</w:t>
            </w: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 (0:48)</w:t>
            </w:r>
          </w:p>
        </w:tc>
      </w:tr>
      <w:tr>
        <w:trPr>
          <w:cantSplit/>
          <w:trHeight w:val="288" w:hRule="auto"/>
        </w:trPr>
        <w:tc>
          <w:tcPr>
            <w:vMerge w:val="restart"/>
            <w:tcBorders>
              <w:bottom w:val="single" w:sz="16"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NIHSS score at 7 days</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5.25 ±6.0</w:t>
            </w:r>
          </w:p>
        </w:tc>
      </w:tr>
      <w:tr>
        <w:trPr>
          <w:cantSplit/>
          <w:trHeight w:val="288" w:hRule="auto"/>
        </w:trPr>
        <w:tc>
          <w:tcPr>
            <w:vMerge/>
            <w:tcBorders>
              <w:bottom w:val="single" w:sz="16"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single" w:sz="16"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single" w:sz="16"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 (0:30)</w:t>
            </w:r>
          </w:p>
        </w:tc>
      </w:tr>
      <w:tr>
        <w:trPr>
          <w:cantSplit/>
          <w:trHeight w:val="288" w:hRule="auto"/>
        </w:trPr>
        <w:tc>
          <w:tcPr>
            <w:gridSpan w:val="3"/>
            <w:tcBorders>
              <w:bottom w:val="single"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000000"/>
              </w:rPr>
              <w:t xml:space="preserve">μ ±SD = Mean (standard deviation); M (min:max) = Median (min:max); </w:t>
            </w:r>
          </w:p>
        </w:tc>
      </w:tr>
    </w:tbl>
    <w:p>
      <w:pPr>
        <w:pStyle w:val="12"/>
      </w:pPr>
      <w:r>
        <w:t xml:space="preserve">The average NIHSS score decreased within the first week after admission form approximatively 11.77 ±5.7 to about 5.25 ±6.0. At admission, half of the patients had NIHSS values 11 while after 7 days, the median dropped to 3. Meanwhile the distribution of NIHSS values evolves more concentrated towards 0, with fewer and fewer patients with high scores.</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8-1.png" id="0" name="Picture"/>
                    <pic:cNvPicPr>
                      <a:picLocks noChangeArrowheads="1" noChangeAspect="1"/>
                    </pic:cNvPicPr>
                  </pic:nvPicPr>
                  <pic:blipFill>
                    <a:blip r:embed="rId34"/>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4:</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8-2.png" id="0" name="Picture"/>
                    <pic:cNvPicPr>
                      <a:picLocks noChangeArrowheads="1" noChangeAspect="1"/>
                    </pic:cNvPicPr>
                  </pic:nvPicPr>
                  <pic:blipFill>
                    <a:blip r:embed="rId35"/>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5:</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8-3.png" id="0" name="Picture"/>
                    <pic:cNvPicPr>
                      <a:picLocks noChangeArrowheads="1" noChangeAspect="1"/>
                    </pic:cNvPicPr>
                  </pic:nvPicPr>
                  <pic:blipFill>
                    <a:blip r:embed="rId36"/>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6:</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8-4.png" id="0" name="Picture"/>
                    <pic:cNvPicPr>
                      <a:picLocks noChangeArrowheads="1" noChangeAspect="1"/>
                    </pic:cNvPicPr>
                  </pic:nvPicPr>
                  <pic:blipFill>
                    <a:blip r:embed="rId37"/>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7:</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8-5.png" id="0" name="Picture"/>
                    <pic:cNvPicPr>
                      <a:picLocks noChangeArrowheads="1" noChangeAspect="1"/>
                    </pic:cNvPicPr>
                  </pic:nvPicPr>
                  <pic:blipFill>
                    <a:blip r:embed="rId38"/>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8:</w:t>
      </w:r>
    </w:p>
    <w:p>
      <w:pPr>
        <w:pStyle w:val="12"/>
      </w:pPr>
      <w:r>
        <w:t xml:space="preserve">Figure 9: .</w:t>
      </w:r>
    </w:p>
    <w:p>
      <w:pPr>
        <w:pStyle w:val="12"/>
      </w:pPr>
      <w:r>
        <w:drawing>
          <wp:inline>
            <wp:extent cx="4603972" cy="2762383"/>
            <wp:effectExtent b="0" l="0" r="0" t="0"/>
            <wp:docPr descr="" title="" id="1" name="Picture"/>
            <a:graphic>
              <a:graphicData uri="http://schemas.openxmlformats.org/drawingml/2006/picture">
                <pic:pic>
                  <pic:nvPicPr>
                    <pic:cNvPr descr="regine_besinger_files/figure-docx/unnamed-chunk-9-1.png" id="0" name="Picture"/>
                    <pic:cNvPicPr>
                      <a:picLocks noChangeArrowheads="1" noChangeAspect="1"/>
                    </pic:cNvPicPr>
                  </pic:nvPicPr>
                  <pic:blipFill>
                    <a:blip r:embed="rId39"/>
                    <a:stretch>
                      <a:fillRect/>
                    </a:stretch>
                  </pic:blipFill>
                  <pic:spPr bwMode="auto">
                    <a:xfrm>
                      <a:off x="0" y="0"/>
                      <a:ext cx="4603972" cy="2762383"/>
                    </a:xfrm>
                    <a:prstGeom prst="rect">
                      <a:avLst/>
                    </a:prstGeom>
                    <a:noFill/>
                    <a:ln w="9525">
                      <a:noFill/>
                      <a:headEnd/>
                      <a:tailEnd/>
                    </a:ln>
                  </pic:spPr>
                </pic:pic>
              </a:graphicData>
            </a:graphic>
          </wp:inline>
        </w:drawing>
      </w:r>
    </w:p>
    <w:p>
      <w:pPr>
        <w:pStyle w:val="12"/>
      </w:pPr>
      <w:r>
        <w:t xml:space="preserve">Table 4: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3602"/>
        <w:gridCol w:w="2513"/>
        <w:gridCol w:w="1356"/>
      </w:tblGrid>
      <w:tr>
        <w:trPr>
          <w:cantSplit/>
          <w:trHeight w:val="288" w:hRule="auto"/>
          <w:tblHeader/>
        </w:trPr>
        <w:tc>
          <w:tcPr>
            <w:tcBorders>
              <w:bottom w:val="single" w:sz="16" w:space="0" w:color="000000"/>
              <w:top w:val="single" w:sz="16"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Variable</w:t>
            </w:r>
          </w:p>
        </w:tc>
        <w:tc>
          <w:tcPr>
            <w:tcBorders>
              <w:bottom w:val="single" w:sz="16" w:space="0" w:color="000000"/>
              <w:top w:val="single" w:sz="16"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Details</w:t>
            </w:r>
          </w:p>
        </w:tc>
        <w:tc>
          <w:tcPr>
            <w:tcBorders>
              <w:bottom w:val="single" w:sz="16" w:space="0" w:color="000000"/>
              <w:top w:val="single" w:sz="16"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Total</w:t>
            </w:r>
          </w:p>
        </w:tc>
      </w:tr>
      <w:tr>
        <w:trPr>
          <w:cantSplit/>
          <w:trHeight w:val="288" w:hRule="auto"/>
        </w:trPr>
        <w:tc>
          <w:tcPr>
            <w:tcBorders>
              <w:bottom w:val="single"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N=</w:t>
            </w:r>
          </w:p>
        </w:tc>
        <w:tc>
          <w:tcPr>
            <w:tcBorders>
              <w:bottom w:val="single"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
            </w:r>
          </w:p>
        </w:tc>
        <w:tc>
          <w:tcPr>
            <w:tcBorders>
              <w:bottom w:val="single"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372</w:t>
            </w:r>
          </w:p>
        </w:tc>
      </w:tr>
      <w:tr>
        <w:trPr>
          <w:cantSplit/>
          <w:trHeight w:val="288" w:hRule="auto"/>
        </w:trPr>
        <w:tc>
          <w:tcPr>
            <w:vMerge w:val="restart"/>
            <w:tcBorders>
              <w:bottom w:val="dashed" w:sz="8" w:space="0" w:color="000000"/>
              <w:top w:val="single"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Rankin score at 3 months (deceased)</w:t>
            </w:r>
          </w:p>
        </w:tc>
        <w:tc>
          <w:tcPr>
            <w:tcBorders>
              <w:bottom w:val="nil"/>
              <w:top w:val="single"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deceased after discharge</w:t>
            </w:r>
          </w:p>
        </w:tc>
        <w:tc>
          <w:tcPr>
            <w:tcBorders>
              <w:bottom w:val="nil"/>
              <w:top w:val="single"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(0.3%)</w:t>
            </w:r>
          </w:p>
        </w:tc>
      </w:tr>
      <w:tr>
        <w:trPr>
          <w:cantSplit/>
          <w:trHeight w:val="288" w:hRule="auto"/>
        </w:trPr>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deceased in hospital</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 (13.4%)</w:t>
            </w: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296 (86.3%)</w:t>
            </w: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Rankin score at discharge</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3.91 ±1.9</w:t>
            </w: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 (1:7)</w:t>
            </w: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Rankin score at 3 months</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3.38 ±2.04</w:t>
            </w: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 (1:7)</w:t>
            </w: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Barthel Index at 3 months (deceased)</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deceased after discharge</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36 (9.7%)</w:t>
            </w:r>
          </w:p>
        </w:tc>
      </w:tr>
      <w:tr>
        <w:trPr>
          <w:cantSplit/>
          <w:trHeight w:val="288" w:hRule="auto"/>
        </w:trPr>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deceased in hospital</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46 (12.4%)</w:t>
            </w: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no</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289 (77.9%)</w:t>
            </w:r>
          </w:p>
        </w:tc>
      </w:tr>
      <w:tr>
        <w:trPr>
          <w:cantSplit/>
          <w:trHeight w:val="288" w:hRule="auto"/>
        </w:trPr>
        <w:tc>
          <w:tcPr>
            <w:vMerge w:val="restart"/>
            <w:tcBorders>
              <w:bottom w:val="single" w:sz="16"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Barthel Index at 3 months</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14.28 ±7.12</w:t>
            </w:r>
          </w:p>
        </w:tc>
      </w:tr>
      <w:tr>
        <w:trPr>
          <w:cantSplit/>
          <w:trHeight w:val="288" w:hRule="auto"/>
        </w:trPr>
        <w:tc>
          <w:tcPr>
            <w:vMerge/>
            <w:tcBorders>
              <w:bottom w:val="single" w:sz="16"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single" w:sz="16"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single" w:sz="16"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 (0:20)</w:t>
            </w:r>
          </w:p>
        </w:tc>
      </w:tr>
      <w:tr>
        <w:trPr>
          <w:cantSplit/>
          <w:trHeight w:val="288" w:hRule="auto"/>
        </w:trPr>
        <w:tc>
          <w:tcPr>
            <w:gridSpan w:val="3"/>
            <w:tcBorders>
              <w:bottom w:val="single"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000000"/>
              </w:rPr>
              <w:t xml:space="preserve">μ ±SD = Mean (standard deviation); M (min:max) = Median (min:max); </w:t>
            </w:r>
          </w:p>
        </w:tc>
      </w:tr>
    </w:tbl>
    <w:p>
      <w:pPr>
        <w:pStyle w:val="12"/>
      </w:pPr>
      <w:r>
        <w:t xml:space="preserve">Between discharge and the follow-up at 3 months, the average Rankin score decreased from 3.91 ±1.9 to 3.38 ±2.04. At follow-up, the average Barthel index acheived an average value of 14.3 ±7.1, with more than 40% of the patients having the maximum value of 20.</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11-1.png" id="0" name="Picture"/>
                    <pic:cNvPicPr>
                      <a:picLocks noChangeArrowheads="1" noChangeAspect="1"/>
                    </pic:cNvPicPr>
                  </pic:nvPicPr>
                  <pic:blipFill>
                    <a:blip r:embed="rId40"/>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10:</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11-2.png" id="0" name="Picture"/>
                    <pic:cNvPicPr>
                      <a:picLocks noChangeArrowheads="1" noChangeAspect="1"/>
                    </pic:cNvPicPr>
                  </pic:nvPicPr>
                  <pic:blipFill>
                    <a:blip r:embed="rId41"/>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11:</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12-1.png" id="0" name="Picture"/>
                    <pic:cNvPicPr>
                      <a:picLocks noChangeArrowheads="1" noChangeAspect="1"/>
                    </pic:cNvPicPr>
                  </pic:nvPicPr>
                  <pic:blipFill>
                    <a:blip r:embed="rId42"/>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12: Barthel Index at 3 months</w:t>
      </w:r>
    </w:p>
    <w:p>
      <w:pPr>
        <w:pStyle w:val="4"/>
      </w:pPr>
      <w:bookmarkStart w:id="43" w:name="correls"/>
      <w:r>
        <w:t xml:space="preserve">Correls</w:t>
      </w:r>
      <w:bookmarkEnd w:id="43"/>
    </w:p>
    <w:p>
      <w:pPr>
        <w:pStyle w:val="30"/>
      </w:pPr>
      <w:r>
        <w:t xml:space="preserve">Higher of average HIHSS scores were weakly correlated to the duration between the onset of symptoms until thrombolytic administration. Only at 2 and 24 hours was this correlation statistically significant (Spearman R = 0.11, p=0.032 and R=0.12, p=0.026, respectively). Similarly, neither Rankin score, nor Barthel index were signifficantly correlated to this duration, even after adjusting for age. Hemorrhagic transformation was not found significantly influenced by time between clnical onset and treatment (T-test: p=0.40).</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13-1.png" id="0" name="Picture"/>
                    <pic:cNvPicPr>
                      <a:picLocks noChangeArrowheads="1" noChangeAspect="1"/>
                    </pic:cNvPicPr>
                  </pic:nvPicPr>
                  <pic:blipFill>
                    <a:blip r:embed="rId44"/>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13:</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13-2.png" id="0" name="Picture"/>
                    <pic:cNvPicPr>
                      <a:picLocks noChangeArrowheads="1" noChangeAspect="1"/>
                    </pic:cNvPicPr>
                  </pic:nvPicPr>
                  <pic:blipFill>
                    <a:blip r:embed="rId45"/>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14:</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13-3.png" id="0" name="Picture"/>
                    <pic:cNvPicPr>
                      <a:picLocks noChangeArrowheads="1" noChangeAspect="1"/>
                    </pic:cNvPicPr>
                  </pic:nvPicPr>
                  <pic:blipFill>
                    <a:blip r:embed="rId46"/>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15:</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13-4.png" id="0" name="Picture"/>
                    <pic:cNvPicPr>
                      <a:picLocks noChangeArrowheads="1" noChangeAspect="1"/>
                    </pic:cNvPicPr>
                  </pic:nvPicPr>
                  <pic:blipFill>
                    <a:blip r:embed="rId47"/>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16:</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13-5.png" id="0" name="Picture"/>
                    <pic:cNvPicPr>
                      <a:picLocks noChangeArrowheads="1" noChangeAspect="1"/>
                    </pic:cNvPicPr>
                  </pic:nvPicPr>
                  <pic:blipFill>
                    <a:blip r:embed="rId48"/>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17:</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13-6.png" id="0" name="Picture"/>
                    <pic:cNvPicPr>
                      <a:picLocks noChangeArrowheads="1" noChangeAspect="1"/>
                    </pic:cNvPicPr>
                  </pic:nvPicPr>
                  <pic:blipFill>
                    <a:blip r:embed="rId49"/>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18:</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13-7.png" id="0" name="Picture"/>
                    <pic:cNvPicPr>
                      <a:picLocks noChangeArrowheads="1" noChangeAspect="1"/>
                    </pic:cNvPicPr>
                  </pic:nvPicPr>
                  <pic:blipFill>
                    <a:blip r:embed="rId50"/>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19:</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13-8.png" id="0" name="Picture"/>
                    <pic:cNvPicPr>
                      <a:picLocks noChangeArrowheads="1" noChangeAspect="1"/>
                    </pic:cNvPicPr>
                  </pic:nvPicPr>
                  <pic:blipFill>
                    <a:blip r:embed="rId51"/>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20:</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14-1.png" id="0" name="Picture"/>
                    <pic:cNvPicPr>
                      <a:picLocks noChangeArrowheads="1" noChangeAspect="1"/>
                    </pic:cNvPicPr>
                  </pic:nvPicPr>
                  <pic:blipFill>
                    <a:blip r:embed="rId52"/>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21:</w:t>
      </w:r>
    </w:p>
    <w:p>
      <w:pPr>
        <w:pStyle w:val="12"/>
      </w:pPr>
      <w:r>
        <w:drawing>
          <wp:inline>
            <wp:extent cx="4603972" cy="2301986"/>
            <wp:effectExtent b="0" l="0" r="0" t="0"/>
            <wp:docPr descr="" title="" id="1" name="Picture"/>
            <a:graphic>
              <a:graphicData uri="http://schemas.openxmlformats.org/drawingml/2006/picture">
                <pic:pic>
                  <pic:nvPicPr>
                    <pic:cNvPr descr="regine_besinger_files/figure-docx/unnamed-chunk-15-1.png" id="0" name="Picture"/>
                    <pic:cNvPicPr>
                      <a:picLocks noChangeArrowheads="1" noChangeAspect="1"/>
                    </pic:cNvPicPr>
                  </pic:nvPicPr>
                  <pic:blipFill>
                    <a:blip r:embed="rId53"/>
                    <a:stretch>
                      <a:fillRect/>
                    </a:stretch>
                  </pic:blipFill>
                  <pic:spPr bwMode="auto">
                    <a:xfrm>
                      <a:off x="0" y="0"/>
                      <a:ext cx="4603972" cy="2301986"/>
                    </a:xfrm>
                    <a:prstGeom prst="rect">
                      <a:avLst/>
                    </a:prstGeom>
                    <a:noFill/>
                    <a:ln w="9525">
                      <a:noFill/>
                      <a:headEnd/>
                      <a:tailEnd/>
                    </a:ln>
                  </pic:spPr>
                </pic:pic>
              </a:graphicData>
            </a:graphic>
          </wp:inline>
        </w:drawing>
      </w:r>
    </w:p>
    <w:p>
      <w:pPr>
        <w:pStyle w:val="12"/>
      </w:pPr>
      <w:r>
        <w:t xml:space="preserve">Figure 22:</w:t>
      </w:r>
    </w:p>
    <w:p>
      <w:pPr>
        <w:pStyle w:val="12"/>
      </w:pPr>
      <w:r>
        <w:drawing>
          <wp:inline>
            <wp:extent cx="4603972" cy="2301986"/>
            <wp:effectExtent b="0" l="0" r="0" t="0"/>
            <wp:docPr descr="" title="" id="1" name="Picture"/>
            <a:graphic>
              <a:graphicData uri="http://schemas.openxmlformats.org/drawingml/2006/picture">
                <pic:pic>
                  <pic:nvPicPr>
                    <pic:cNvPr descr="regine_besinger_files/figure-docx/unnamed-chunk-16-1.png" id="0" name="Picture"/>
                    <pic:cNvPicPr>
                      <a:picLocks noChangeArrowheads="1" noChangeAspect="1"/>
                    </pic:cNvPicPr>
                  </pic:nvPicPr>
                  <pic:blipFill>
                    <a:blip r:embed="rId54"/>
                    <a:stretch>
                      <a:fillRect/>
                    </a:stretch>
                  </pic:blipFill>
                  <pic:spPr bwMode="auto">
                    <a:xfrm>
                      <a:off x="0" y="0"/>
                      <a:ext cx="4603972" cy="2301986"/>
                    </a:xfrm>
                    <a:prstGeom prst="rect">
                      <a:avLst/>
                    </a:prstGeom>
                    <a:noFill/>
                    <a:ln w="9525">
                      <a:noFill/>
                      <a:headEnd/>
                      <a:tailEnd/>
                    </a:ln>
                  </pic:spPr>
                </pic:pic>
              </a:graphicData>
            </a:graphic>
          </wp:inline>
        </w:drawing>
      </w:r>
    </w:p>
    <w:p>
      <w:pPr>
        <w:pStyle w:val="12"/>
      </w:pPr>
      <w:r>
        <w:t xml:space="preserve">Figure 23:</w:t>
      </w:r>
    </w:p>
    <w:p>
      <w:pPr>
        <w:pStyle w:val="12"/>
      </w:pPr>
      <w:r>
        <w:drawing>
          <wp:inline>
            <wp:extent cx="4603972" cy="2301986"/>
            <wp:effectExtent b="0" l="0" r="0" t="0"/>
            <wp:docPr descr="" title="" id="1" name="Picture"/>
            <a:graphic>
              <a:graphicData uri="http://schemas.openxmlformats.org/drawingml/2006/picture">
                <pic:pic>
                  <pic:nvPicPr>
                    <pic:cNvPr descr="regine_besinger_files/figure-docx/unnamed-chunk-17-1.png" id="0" name="Picture"/>
                    <pic:cNvPicPr>
                      <a:picLocks noChangeArrowheads="1" noChangeAspect="1"/>
                    </pic:cNvPicPr>
                  </pic:nvPicPr>
                  <pic:blipFill>
                    <a:blip r:embed="rId55"/>
                    <a:stretch>
                      <a:fillRect/>
                    </a:stretch>
                  </pic:blipFill>
                  <pic:spPr bwMode="auto">
                    <a:xfrm>
                      <a:off x="0" y="0"/>
                      <a:ext cx="4603972" cy="2301986"/>
                    </a:xfrm>
                    <a:prstGeom prst="rect">
                      <a:avLst/>
                    </a:prstGeom>
                    <a:noFill/>
                    <a:ln w="9525">
                      <a:noFill/>
                      <a:headEnd/>
                      <a:tailEnd/>
                    </a:ln>
                  </pic:spPr>
                </pic:pic>
              </a:graphicData>
            </a:graphic>
          </wp:inline>
        </w:drawing>
      </w:r>
    </w:p>
    <w:p>
      <w:pPr>
        <w:pStyle w:val="12"/>
      </w:pPr>
      <w:r>
        <w:t xml:space="preserve">Figure 24:</w:t>
      </w:r>
    </w:p>
    <w:p>
      <w:pPr>
        <w:pStyle w:val="12"/>
      </w:pPr>
      <w:r>
        <w:drawing>
          <wp:inline>
            <wp:extent cx="4603972" cy="2301986"/>
            <wp:effectExtent b="0" l="0" r="0" t="0"/>
            <wp:docPr descr="" title="" id="1" name="Picture"/>
            <a:graphic>
              <a:graphicData uri="http://schemas.openxmlformats.org/drawingml/2006/picture">
                <pic:pic>
                  <pic:nvPicPr>
                    <pic:cNvPr descr="regine_besinger_files/figure-docx/unnamed-chunk-18-1.png" id="0" name="Picture"/>
                    <pic:cNvPicPr>
                      <a:picLocks noChangeArrowheads="1" noChangeAspect="1"/>
                    </pic:cNvPicPr>
                  </pic:nvPicPr>
                  <pic:blipFill>
                    <a:blip r:embed="rId56"/>
                    <a:stretch>
                      <a:fillRect/>
                    </a:stretch>
                  </pic:blipFill>
                  <pic:spPr bwMode="auto">
                    <a:xfrm>
                      <a:off x="0" y="0"/>
                      <a:ext cx="4603972" cy="2301986"/>
                    </a:xfrm>
                    <a:prstGeom prst="rect">
                      <a:avLst/>
                    </a:prstGeom>
                    <a:noFill/>
                    <a:ln w="9525">
                      <a:noFill/>
                      <a:headEnd/>
                      <a:tailEnd/>
                    </a:ln>
                  </pic:spPr>
                </pic:pic>
              </a:graphicData>
            </a:graphic>
          </wp:inline>
        </w:drawing>
      </w:r>
    </w:p>
    <w:p>
      <w:pPr>
        <w:pStyle w:val="12"/>
      </w:pPr>
      <w:r>
        <w:t xml:space="preserve">Figure 23:</w:t>
      </w:r>
    </w:p>
    <w:p>
      <w:pPr>
        <w:pStyle w:val="2"/>
      </w:pPr>
      <w:bookmarkStart w:id="57" w:name="demo"/>
      <w:r>
        <w:t xml:space="preserve">Demo</w:t>
      </w:r>
      <w:bookmarkEnd w:id="57"/>
    </w:p>
    <w:p>
      <w:pPr>
        <w:pStyle w:val="30"/>
      </w:pPr>
      <w:r>
        <w:drawing>
          <wp:inline>
            <wp:extent cx="2301986" cy="2301986"/>
            <wp:effectExtent b="0" l="0" r="0" t="0"/>
            <wp:docPr descr="" title="" id="1" name="Picture"/>
            <a:graphic>
              <a:graphicData uri="http://schemas.openxmlformats.org/drawingml/2006/picture">
                <pic:pic>
                  <pic:nvPicPr>
                    <pic:cNvPr descr="regine_besinger_files/figure-docx/unnamed-chunk-20-1.png" id="0" name="Picture"/>
                    <pic:cNvPicPr>
                      <a:picLocks noChangeArrowheads="1" noChangeAspect="1"/>
                    </pic:cNvPicPr>
                  </pic:nvPicPr>
                  <pic:blipFill>
                    <a:blip r:embed="rId58"/>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25:</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20-2.png" id="0" name="Picture"/>
                    <pic:cNvPicPr>
                      <a:picLocks noChangeArrowheads="1" noChangeAspect="1"/>
                    </pic:cNvPicPr>
                  </pic:nvPicPr>
                  <pic:blipFill>
                    <a:blip r:embed="rId59"/>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26:</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20-3.png" id="0" name="Picture"/>
                    <pic:cNvPicPr>
                      <a:picLocks noChangeArrowheads="1" noChangeAspect="1"/>
                    </pic:cNvPicPr>
                  </pic:nvPicPr>
                  <pic:blipFill>
                    <a:blip r:embed="rId60"/>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27:</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20-4.png" id="0" name="Picture"/>
                    <pic:cNvPicPr>
                      <a:picLocks noChangeArrowheads="1" noChangeAspect="1"/>
                    </pic:cNvPicPr>
                  </pic:nvPicPr>
                  <pic:blipFill>
                    <a:blip r:embed="rId61"/>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28:</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20-5.png" id="0" name="Picture"/>
                    <pic:cNvPicPr>
                      <a:picLocks noChangeArrowheads="1" noChangeAspect="1"/>
                    </pic:cNvPicPr>
                  </pic:nvPicPr>
                  <pic:blipFill>
                    <a:blip r:embed="rId62"/>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29:</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21-1.png" id="0" name="Picture"/>
                    <pic:cNvPicPr>
                      <a:picLocks noChangeArrowheads="1" noChangeAspect="1"/>
                    </pic:cNvPicPr>
                  </pic:nvPicPr>
                  <pic:blipFill>
                    <a:blip r:embed="rId63"/>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30:</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21-2.png" id="0" name="Picture"/>
                    <pic:cNvPicPr>
                      <a:picLocks noChangeArrowheads="1" noChangeAspect="1"/>
                    </pic:cNvPicPr>
                  </pic:nvPicPr>
                  <pic:blipFill>
                    <a:blip r:embed="rId64"/>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31:</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21-3.png" id="0" name="Picture"/>
                    <pic:cNvPicPr>
                      <a:picLocks noChangeArrowheads="1" noChangeAspect="1"/>
                    </pic:cNvPicPr>
                  </pic:nvPicPr>
                  <pic:blipFill>
                    <a:blip r:embed="rId65"/>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32:</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21-4.png" id="0" name="Picture"/>
                    <pic:cNvPicPr>
                      <a:picLocks noChangeArrowheads="1" noChangeAspect="1"/>
                    </pic:cNvPicPr>
                  </pic:nvPicPr>
                  <pic:blipFill>
                    <a:blip r:embed="rId66"/>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33:</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21-5.png" id="0" name="Picture"/>
                    <pic:cNvPicPr>
                      <a:picLocks noChangeArrowheads="1" noChangeAspect="1"/>
                    </pic:cNvPicPr>
                  </pic:nvPicPr>
                  <pic:blipFill>
                    <a:blip r:embed="rId67"/>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34:</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22-1.png" id="0" name="Picture"/>
                    <pic:cNvPicPr>
                      <a:picLocks noChangeArrowheads="1" noChangeAspect="1"/>
                    </pic:cNvPicPr>
                  </pic:nvPicPr>
                  <pic:blipFill>
                    <a:blip r:embed="rId68"/>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35:</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22-2.png" id="0" name="Picture"/>
                    <pic:cNvPicPr>
                      <a:picLocks noChangeArrowheads="1" noChangeAspect="1"/>
                    </pic:cNvPicPr>
                  </pic:nvPicPr>
                  <pic:blipFill>
                    <a:blip r:embed="rId69"/>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36:</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22-3.png" id="0" name="Picture"/>
                    <pic:cNvPicPr>
                      <a:picLocks noChangeArrowheads="1" noChangeAspect="1"/>
                    </pic:cNvPicPr>
                  </pic:nvPicPr>
                  <pic:blipFill>
                    <a:blip r:embed="rId70"/>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37:</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22-4.png" id="0" name="Picture"/>
                    <pic:cNvPicPr>
                      <a:picLocks noChangeArrowheads="1" noChangeAspect="1"/>
                    </pic:cNvPicPr>
                  </pic:nvPicPr>
                  <pic:blipFill>
                    <a:blip r:embed="rId71"/>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38:</w:t>
      </w:r>
    </w:p>
    <w:p>
      <w:pPr>
        <w:pStyle w:val="12"/>
      </w:pPr>
      <w:r>
        <w:drawing>
          <wp:inline>
            <wp:extent cx="2301986" cy="2301986"/>
            <wp:effectExtent b="0" l="0" r="0" t="0"/>
            <wp:docPr descr="" title="" id="1" name="Picture"/>
            <a:graphic>
              <a:graphicData uri="http://schemas.openxmlformats.org/drawingml/2006/picture">
                <pic:pic>
                  <pic:nvPicPr>
                    <pic:cNvPr descr="regine_besinger_files/figure-docx/unnamed-chunk-22-5.png" id="0" name="Picture"/>
                    <pic:cNvPicPr>
                      <a:picLocks noChangeArrowheads="1" noChangeAspect="1"/>
                    </pic:cNvPicPr>
                  </pic:nvPicPr>
                  <pic:blipFill>
                    <a:blip r:embed="rId72"/>
                    <a:stretch>
                      <a:fillRect/>
                    </a:stretch>
                  </pic:blipFill>
                  <pic:spPr bwMode="auto">
                    <a:xfrm>
                      <a:off x="0" y="0"/>
                      <a:ext cx="2301986" cy="2301986"/>
                    </a:xfrm>
                    <a:prstGeom prst="rect">
                      <a:avLst/>
                    </a:prstGeom>
                    <a:noFill/>
                    <a:ln w="9525">
                      <a:noFill/>
                      <a:headEnd/>
                      <a:tailEnd/>
                    </a:ln>
                  </pic:spPr>
                </pic:pic>
              </a:graphicData>
            </a:graphic>
          </wp:inline>
        </w:drawing>
      </w:r>
    </w:p>
    <w:p>
      <w:pPr>
        <w:pStyle w:val="12"/>
      </w:pPr>
      <w:r>
        <w:t xml:space="preserve">Figure 39:</w:t>
      </w:r>
    </w:p>
    <w:p>
      <w:pPr>
        <w:pStyle w:val="12"/>
      </w:pPr>
      <w:r>
        <w:t xml:space="preserve">$p</w:t>
      </w:r>
      <w:r>
        <w:t xml:space="preserve"> </w:t>
      </w:r>
      <w:r>
        <w:drawing>
          <wp:inline>
            <wp:extent cx="4603972" cy="5524766"/>
            <wp:effectExtent b="0" l="0" r="0" t="0"/>
            <wp:docPr descr="" title="" id="1" name="Picture"/>
            <a:graphic>
              <a:graphicData uri="http://schemas.openxmlformats.org/drawingml/2006/picture">
                <pic:pic>
                  <pic:nvPicPr>
                    <pic:cNvPr descr="regine_besinger_files/figure-docx/unnamed-chunk-23-1.png" id="0" name="Picture"/>
                    <pic:cNvPicPr>
                      <a:picLocks noChangeArrowheads="1" noChangeAspect="1"/>
                    </pic:cNvPicPr>
                  </pic:nvPicPr>
                  <pic:blipFill>
                    <a:blip r:embed="rId73"/>
                    <a:stretch>
                      <a:fillRect/>
                    </a:stretch>
                  </pic:blipFill>
                  <pic:spPr bwMode="auto">
                    <a:xfrm>
                      <a:off x="0" y="0"/>
                      <a:ext cx="4603972" cy="5524766"/>
                    </a:xfrm>
                    <a:prstGeom prst="rect">
                      <a:avLst/>
                    </a:prstGeom>
                    <a:noFill/>
                    <a:ln w="9525">
                      <a:noFill/>
                      <a:headEnd/>
                      <a:tailEnd/>
                    </a:ln>
                  </pic:spPr>
                </pic:pic>
              </a:graphicData>
            </a:graphic>
          </wp:inline>
        </w:drawing>
      </w:r>
      <w:r>
        <w:t xml:space="preserve"> </w:t>
      </w:r>
      <w:r>
        <w:t xml:space="preserve">$t</w:t>
      </w:r>
      <w:r>
        <w:t xml:space="preserve"> </w:t>
      </w:r>
      <w:r>
        <w:t xml:space="preserve">a flextable object.</w:t>
      </w:r>
      <w:r>
        <w:t xml:space="preserve"> </w:t>
      </w:r>
      <w:r>
        <w:t xml:space="preserve">col_keys:</w:t>
      </w:r>
      <w:r>
        <w:t xml:space="preserve"> </w:t>
      </w:r>
      <w:r>
        <w:rPr>
          <w:rStyle w:val="41"/>
        </w:rPr>
        <w:t xml:space="preserve">VS. (Spearman R)</w:t>
      </w:r>
      <w:r>
        <w:t xml:space="preserve">,</w:t>
      </w:r>
      <w:r>
        <w:t xml:space="preserve"> </w:t>
      </w:r>
      <w:r>
        <w:rPr>
          <w:rStyle w:val="41"/>
        </w:rPr>
        <w:t xml:space="preserve">Time onset - presentation (hours)</w:t>
      </w:r>
      <w:r>
        <w:t xml:space="preserve">,</w:t>
      </w:r>
      <w:r>
        <w:t xml:space="preserve"> </w:t>
      </w:r>
      <w:r>
        <w:rPr>
          <w:rStyle w:val="41"/>
        </w:rPr>
        <w:t xml:space="preserve">Time onset - cerebral CT (hours)</w:t>
      </w:r>
      <w:r>
        <w:t xml:space="preserve">,</w:t>
      </w:r>
      <w:r>
        <w:t xml:space="preserve"> </w:t>
      </w:r>
      <w:r>
        <w:rPr>
          <w:rStyle w:val="41"/>
        </w:rPr>
        <w:t xml:space="preserve">Time onset - analyses results (hours)</w:t>
      </w:r>
      <w:r>
        <w:t xml:space="preserve">,</w:t>
      </w:r>
      <w:r>
        <w:t xml:space="preserve"> </w:t>
      </w:r>
      <w:r>
        <w:rPr>
          <w:rStyle w:val="41"/>
        </w:rPr>
        <w:t xml:space="preserve">Time onset - treatment start (hours)</w:t>
      </w:r>
      <w:r>
        <w:t xml:space="preserve">,</w:t>
      </w:r>
      <w:r>
        <w:t xml:space="preserve"> </w:t>
      </w:r>
      <w:r>
        <w:rPr>
          <w:rStyle w:val="41"/>
        </w:rPr>
        <w:t xml:space="preserve">Time presentation - treatment start (hours)</w:t>
      </w:r>
      <w:r>
        <w:t xml:space="preserve"> </w:t>
      </w:r>
      <w:r>
        <w:t xml:space="preserve">header has 1 row(s)</w:t>
      </w:r>
      <w:r>
        <w:t xml:space="preserve"> </w:t>
      </w:r>
      <w:r>
        <w:t xml:space="preserve">body has 10 row(s)</w:t>
      </w:r>
      <w:r>
        <w:t xml:space="preserve"> </w:t>
      </w:r>
      <w:r>
        <w:t xml:space="preserve">original dataset sample:</w:t>
      </w:r>
      <w:r>
        <w:t xml:space="preserve"> </w:t>
      </w:r>
      <w:r>
        <w:t xml:space="preserve">VS. (Spearman R) Time onset - presentation (hours)</w:t>
      </w:r>
      <w:r>
        <w:t xml:space="preserve"> </w:t>
      </w:r>
      <w:r>
        <w:t xml:space="preserve">1 NIHSS score at admission 0.012</w:t>
      </w:r>
      <w:r>
        <w:t xml:space="preserve">(p=0.819)</w:t>
      </w:r>
      <w:r>
        <w:t xml:space="preserve"> </w:t>
      </w:r>
      <w:r>
        <w:t xml:space="preserve">2 NIHSS score at 1 hour 0.063</w:t>
      </w:r>
      <w:r>
        <w:t xml:space="preserve">(p=0.229)</w:t>
      </w:r>
      <w:r>
        <w:t xml:space="preserve"> </w:t>
      </w:r>
      <w:r>
        <w:t xml:space="preserve">3 NIHSS score at 2 hours 0.105</w:t>
      </w:r>
      <w:r>
        <w:t xml:space="preserve">(p=0.043)</w:t>
      </w:r>
      <w:r>
        <w:t xml:space="preserve"> </w:t>
      </w:r>
      <w:r>
        <w:t xml:space="preserve">4 NIHSS score at 24 hours 0.124</w:t>
      </w:r>
      <w:r>
        <w:t xml:space="preserve">(p=0.017)</w:t>
      </w:r>
      <w:r>
        <w:t xml:space="preserve"> </w:t>
      </w:r>
      <w:r>
        <w:t xml:space="preserve">5 NIHSS score at 7 days 0.073</w:t>
      </w:r>
      <w:r>
        <w:t xml:space="preserve">(p=0.161)</w:t>
      </w:r>
      <w:r>
        <w:t xml:space="preserve"> </w:t>
      </w:r>
      <w:r>
        <w:t xml:space="preserve">Time onset - cerebral CT (hours) Time onset - analyses results (hours)</w:t>
      </w:r>
      <w:r>
        <w:t xml:space="preserve"> </w:t>
      </w:r>
      <w:r>
        <w:t xml:space="preserve">1 0.008</w:t>
      </w:r>
      <w:r>
        <w:t xml:space="preserve">(p=0.874) -0.002</w:t>
      </w:r>
      <w:r>
        <w:t xml:space="preserve">(p=0.962)</w:t>
      </w:r>
      <w:r>
        <w:t xml:space="preserve"> </w:t>
      </w:r>
      <w:r>
        <w:t xml:space="preserve">2 0.055</w:t>
      </w:r>
      <w:r>
        <w:t xml:space="preserve">(p=0.296) 0.043</w:t>
      </w:r>
      <w:r>
        <w:t xml:space="preserve">(p=0.406)</w:t>
      </w:r>
      <w:r>
        <w:t xml:space="preserve"> </w:t>
      </w:r>
      <w:r>
        <w:t xml:space="preserve">3 0.089</w:t>
      </w:r>
      <w:r>
        <w:t xml:space="preserve">(p=0.089) 0.077</w:t>
      </w:r>
      <w:r>
        <w:t xml:space="preserve">(p=0.142)</w:t>
      </w:r>
      <w:r>
        <w:t xml:space="preserve"> </w:t>
      </w:r>
      <w:r>
        <w:t xml:space="preserve">4 0.102</w:t>
      </w:r>
      <w:r>
        <w:t xml:space="preserve">(p=0.051) 0.089</w:t>
      </w:r>
      <w:r>
        <w:t xml:space="preserve">(p=0.089)</w:t>
      </w:r>
      <w:r>
        <w:t xml:space="preserve"> </w:t>
      </w:r>
      <w:r>
        <w:t xml:space="preserve">5 0.090</w:t>
      </w:r>
      <w:r>
        <w:t xml:space="preserve">(p=0.086) 0.062</w:t>
      </w:r>
      <w:r>
        <w:t xml:space="preserve">(p=0.242)</w:t>
      </w:r>
      <w:r>
        <w:t xml:space="preserve"> </w:t>
      </w:r>
      <w:r>
        <w:t xml:space="preserve">Time onset - treatment start (hours)</w:t>
      </w:r>
      <w:r>
        <w:t xml:space="preserve"> </w:t>
      </w:r>
      <w:r>
        <w:t xml:space="preserve">1 -0.021</w:t>
      </w:r>
      <w:r>
        <w:t xml:space="preserve">(p=0.690)</w:t>
      </w:r>
      <w:r>
        <w:t xml:space="preserve"> </w:t>
      </w:r>
      <w:r>
        <w:t xml:space="preserve">2 0.054</w:t>
      </w:r>
      <w:r>
        <w:t xml:space="preserve">(p=0.301)</w:t>
      </w:r>
      <w:r>
        <w:t xml:space="preserve"> </w:t>
      </w:r>
      <w:r>
        <w:t xml:space="preserve">3 0.116</w:t>
      </w:r>
      <w:r>
        <w:t xml:space="preserve">(p=0.026)</w:t>
      </w:r>
      <w:r>
        <w:t xml:space="preserve"> </w:t>
      </w:r>
      <w:r>
        <w:t xml:space="preserve">4 0.111</w:t>
      </w:r>
      <w:r>
        <w:t xml:space="preserve">(p=0.032)</w:t>
      </w:r>
      <w:r>
        <w:t xml:space="preserve"> </w:t>
      </w:r>
      <w:r>
        <w:t xml:space="preserve">5 0.079</w:t>
      </w:r>
      <w:r>
        <w:t xml:space="preserve">(p=0.133)</w:t>
      </w:r>
      <w:r>
        <w:t xml:space="preserve"> </w:t>
      </w:r>
      <w:r>
        <w:t xml:space="preserve">Time presentation - treatment start (hours)</w:t>
      </w:r>
      <w:r>
        <w:t xml:space="preserve"> </w:t>
      </w:r>
      <w:r>
        <w:t xml:space="preserve">1 -0.031</w:t>
      </w:r>
      <w:r>
        <w:t xml:space="preserve">(p=0.549)</w:t>
      </w:r>
      <w:r>
        <w:t xml:space="preserve"> </w:t>
      </w:r>
      <w:r>
        <w:t xml:space="preserve">2 0.011</w:t>
      </w:r>
      <w:r>
        <w:t xml:space="preserve">(p=0.832)</w:t>
      </w:r>
      <w:r>
        <w:t xml:space="preserve"> </w:t>
      </w:r>
      <w:r>
        <w:t xml:space="preserve">3 0.059</w:t>
      </w:r>
      <w:r>
        <w:t xml:space="preserve">(p=0.256)</w:t>
      </w:r>
      <w:r>
        <w:t xml:space="preserve"> </w:t>
      </w:r>
      <w:r>
        <w:t xml:space="preserve">4 0.019</w:t>
      </w:r>
      <w:r>
        <w:t xml:space="preserve">(p=0.715)</w:t>
      </w:r>
      <w:r>
        <w:t xml:space="preserve"> </w:t>
      </w:r>
      <w:r>
        <w:t xml:space="preserve">5 0.021</w:t>
      </w:r>
      <w:r>
        <w:t xml:space="preserve">(p=0.690)</w:t>
      </w:r>
    </w:p>
    <w:p>
      <w:pPr>
        <w:pStyle w:val="12"/>
      </w:pPr>
      <w:r>
        <w:t xml:space="preserve">Table 5: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5503"/>
        <w:gridCol w:w="2513"/>
        <w:gridCol w:w="1679"/>
        <w:gridCol w:w="1745"/>
        <w:gridCol w:w="1745"/>
        <w:gridCol w:w="3158"/>
      </w:tblGrid>
      <w:tr>
        <w:trPr>
          <w:cantSplit/>
          <w:trHeight w:val="288" w:hRule="auto"/>
          <w:tblHeader/>
        </w:trPr>
        <w:tc>
          <w:tcPr>
            <w:tcBorders>
              <w:bottom w:val="single" w:sz="16" w:space="0" w:color="000000"/>
              <w:top w:val="single" w:sz="16"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Variable</w:t>
            </w:r>
          </w:p>
        </w:tc>
        <w:tc>
          <w:tcPr>
            <w:tcBorders>
              <w:bottom w:val="single" w:sz="16" w:space="0" w:color="000000"/>
              <w:top w:val="single" w:sz="16"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Details</w:t>
            </w:r>
          </w:p>
        </w:tc>
        <w:tc>
          <w:tcPr>
            <w:tcBorders>
              <w:bottom w:val="single" w:sz="16" w:space="0" w:color="000000"/>
              <w:top w:val="single" w:sz="16"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yes</w:t>
            </w:r>
          </w:p>
        </w:tc>
        <w:tc>
          <w:tcPr>
            <w:tcBorders>
              <w:bottom w:val="single" w:sz="16" w:space="0" w:color="000000"/>
              <w:top w:val="single" w:sz="16"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no</w:t>
            </w:r>
          </w:p>
        </w:tc>
        <w:tc>
          <w:tcPr>
            <w:tcBorders>
              <w:bottom w:val="single" w:sz="16" w:space="0" w:color="000000"/>
              <w:top w:val="single" w:sz="16"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Total</w:t>
            </w:r>
          </w:p>
        </w:tc>
        <w:tc>
          <w:tcPr>
            <w:tcBorders>
              <w:bottom w:val="single" w:sz="16" w:space="0" w:color="000000"/>
              <w:top w:val="single" w:sz="16"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Statistics</w:t>
            </w:r>
          </w:p>
        </w:tc>
      </w:tr>
      <w:tr>
        <w:trPr>
          <w:cantSplit/>
          <w:trHeight w:val="288" w:hRule="auto"/>
        </w:trPr>
        <w:tc>
          <w:tcPr>
            <w:tcBorders>
              <w:bottom w:val="single"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Hemorrhagic transformation</w:t>
            </w:r>
          </w:p>
        </w:tc>
        <w:tc>
          <w:tcPr>
            <w:tcBorders>
              <w:bottom w:val="single"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
            </w:r>
          </w:p>
        </w:tc>
        <w:tc>
          <w:tcPr>
            <w:tcBorders>
              <w:bottom w:val="single"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50 (14.0%)</w:t>
            </w:r>
          </w:p>
        </w:tc>
        <w:tc>
          <w:tcPr>
            <w:tcBorders>
              <w:bottom w:val="single"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308 (86.0%)</w:t>
            </w:r>
          </w:p>
        </w:tc>
        <w:tc>
          <w:tcPr>
            <w:tcBorders>
              <w:bottom w:val="single"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358</w:t>
            </w:r>
          </w:p>
        </w:tc>
        <w:tc>
          <w:tcPr>
            <w:tcBorders>
              <w:bottom w:val="single"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
            </w:r>
          </w:p>
        </w:tc>
      </w:tr>
      <w:tr>
        <w:trPr>
          <w:cantSplit/>
          <w:trHeight w:val="288" w:hRule="auto"/>
        </w:trPr>
        <w:tc>
          <w:tcPr>
            <w:vMerge w:val="restart"/>
            <w:tcBorders>
              <w:bottom w:val="dashed" w:sz="8" w:space="0" w:color="000000"/>
              <w:top w:val="single"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Age (years)</w:t>
            </w:r>
          </w:p>
        </w:tc>
        <w:tc>
          <w:tcPr>
            <w:tcBorders>
              <w:bottom w:val="nil"/>
              <w:top w:val="single"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bottom w:val="nil"/>
              <w:top w:val="single"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68.72 ±13.1</w:t>
            </w:r>
          </w:p>
        </w:tc>
        <w:tc>
          <w:tcPr>
            <w:tcBorders>
              <w:bottom w:val="nil"/>
              <w:top w:val="single"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66.29 ±12.8</w:t>
            </w:r>
          </w:p>
        </w:tc>
        <w:tc>
          <w:tcPr>
            <w:tcBorders>
              <w:bottom w:val="nil"/>
              <w:top w:val="single"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66.47 ±12.9</w:t>
            </w:r>
          </w:p>
        </w:tc>
        <w:tc>
          <w:tcPr>
            <w:vMerge w:val="restart"/>
            <w:tcBorders>
              <w:bottom w:val="dashed" w:sz="8" w:space="0" w:color="000000"/>
              <w:top w:val="single"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 p=0.128</w:t>
            </w: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72.5 (37:91)</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68 (25:94)</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69 (25:94)</w:t>
            </w:r>
          </w:p>
        </w:tc>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Sex</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F</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27 (54.0%)</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117 (38.0%)</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144 (40.2%)</w:t>
            </w:r>
          </w:p>
        </w:tc>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OR=1.92 [1.05, 3.50] (p=0.043)</w:t>
            </w: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23 (46.0%)</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191 (62.0%)</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214 (59.8%)</w:t>
            </w:r>
          </w:p>
        </w:tc>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Height (cm)</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μ ±SD</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163.71 ±20.5</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169.36 ±12.3</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168.70 ±13.6</w:t>
            </w:r>
          </w:p>
        </w:tc>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MW: p=0.014</w:t>
            </w: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 (min:max)</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165 (70:183)</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170 (70:193)</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170 (70:193)</w:t>
            </w:r>
          </w:p>
        </w:tc>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Weight (kg)</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84.54 ±26.5</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81.23 ±16.4</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81.91 ±18.2</w:t>
            </w:r>
          </w:p>
        </w:tc>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 p=0.813</w:t>
            </w: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81 (40:176)</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 (40:178)</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80 (40:178)</w:t>
            </w:r>
          </w:p>
        </w:tc>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 onset - presentation (hours)</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 ±0.777</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1.79 ±0.819</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1.76 ±0.82</w:t>
            </w:r>
          </w:p>
        </w:tc>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 p=0.275</w:t>
            </w: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1.53 (0.45:3.75)</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1.67 (-0.13:3.95)</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1.62 (-0.13:3.95)</w:t>
            </w:r>
          </w:p>
        </w:tc>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 onset - cerebral CT (hours)</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2.14 ±0.816</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2.17 ±0.822</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2.15 ±0.83</w:t>
            </w:r>
          </w:p>
        </w:tc>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 p=0.753</w:t>
            </w: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 (0.57:3.82)</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2.08 (0:4.42)</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2.08 (0:4.42)</w:t>
            </w:r>
          </w:p>
        </w:tc>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 onset - analyses results (hours)</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2.31 ±0.836</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2.39 ±0.825</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2.35 ±0.838</w:t>
            </w:r>
          </w:p>
        </w:tc>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T-test: p=0.547</w:t>
            </w: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2.28 (0.83:4.22)</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2.33 (0:4.55)</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2.32 (0:4.55)</w:t>
            </w:r>
          </w:p>
        </w:tc>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 onset - treatment start (hours)</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2.69 ±0.842</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2.80 ±0.814</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2.76 ±0.824</w:t>
            </w:r>
          </w:p>
        </w:tc>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 p=0.279</w:t>
            </w: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2.54 (0.95:4.33)</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2.83 (0:4.5)</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2.8 (0:4.5)</w:t>
            </w:r>
          </w:p>
        </w:tc>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 presentation - treatment start (hours)</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 ±0.449</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1.03 ±0.484</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1.02 ±0.479</w:t>
            </w:r>
          </w:p>
        </w:tc>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 p=0.978</w:t>
            </w: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0.92 (0.28:2.15)</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0.98 (0.13:3.5)</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0.95 (0.13:3.5)</w:t>
            </w:r>
          </w:p>
        </w:tc>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gridSpan w:val="2"/>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Long interval: presentation - treatment start (other reasons)</w:t>
            </w:r>
          </w:p>
        </w:tc>
        <w:tc>
          <w:tcPr>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 (6.0%)</w:t>
            </w:r>
          </w:p>
        </w:tc>
        <w:tc>
          <w:tcPr>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 (4.5%)</w:t>
            </w:r>
          </w:p>
        </w:tc>
        <w:tc>
          <w:tcPr>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 (4.7%)</w:t>
            </w:r>
          </w:p>
        </w:tc>
        <w:tc>
          <w:tcPr>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OR=1.34 [0.37, 4.84] (p=0.717)</w:t>
            </w: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NIHSS score at admission</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μ ±SD</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14.24 ±5.42</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11.35 ±5.6</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11.77 ±5.7</w:t>
            </w:r>
          </w:p>
        </w:tc>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MW: p&lt;0.001</w:t>
            </w: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 (min:max)</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15 (0:26)</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10 (2:31)</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11 (0:31)</w:t>
            </w:r>
          </w:p>
        </w:tc>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NIHSS score at 1 hour</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μ ±SD</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13.04 ±5.6</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9.80 ±6.36</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10.11 ±6.54</w:t>
            </w:r>
          </w:p>
        </w:tc>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MW: p&lt;0.001</w:t>
            </w: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 (min:max)</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14 (2:26)</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8 (0:38)</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9 (0:38)</w:t>
            </w:r>
          </w:p>
        </w:tc>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NIHSS score at 2 hours</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μ ±SD</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12.38 ±6.24</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9.04 ±6.63</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9.37 ±6.84</w:t>
            </w:r>
          </w:p>
        </w:tc>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MW: p&lt;0.001</w:t>
            </w: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 (min:max)</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12.5 (1:30)</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8 (0:48)</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8 (0:48)</w:t>
            </w:r>
          </w:p>
        </w:tc>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NIHSS score at 24 hours</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μ ±SD</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13.31 ±7.89</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7.93 ±7.24</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8.48 ±7.67</w:t>
            </w:r>
          </w:p>
        </w:tc>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MW: p&lt;0.001</w:t>
            </w: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 (min:max)</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14 (0:42)</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6 (0:48)</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6 (0:48)</w:t>
            </w:r>
          </w:p>
        </w:tc>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NIHSS score at 7 days</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μ ±SD</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7.45 ±7.07</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5.03 ±5.62</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5.25 ±6.0</w:t>
            </w:r>
          </w:p>
        </w:tc>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MW: p=0.030</w:t>
            </w: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 (min:max)</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6 (0:26)</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 (0:30)</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 (0:30)</w:t>
            </w:r>
          </w:p>
        </w:tc>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Vasculary teritory of the current stroke</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 (53.1%)</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173 (56.5%)</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199 (56.1%)</w:t>
            </w:r>
          </w:p>
        </w:tc>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V=0.03 (p=0.873)</w:t>
            </w:r>
          </w:p>
        </w:tc>
      </w:tr>
      <w:tr>
        <w:trPr>
          <w:cantSplit/>
          <w:trHeight w:val="288" w:hRule="auto"/>
        </w:trPr>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 (40.8%)</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113 (36.9%)</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133 (37.5%)</w:t>
            </w:r>
          </w:p>
        </w:tc>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 (6.1%)</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 (6.5%)</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 (6.5%)</w:t>
            </w:r>
          </w:p>
        </w:tc>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gridSpan w:val="2"/>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Repeated strokes</w:t>
            </w:r>
          </w:p>
        </w:tc>
        <w:tc>
          <w:tcPr>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5 (10.2%)</w:t>
            </w:r>
          </w:p>
        </w:tc>
        <w:tc>
          <w:tcPr>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7 (2.3%)</w:t>
            </w:r>
          </w:p>
        </w:tc>
        <w:tc>
          <w:tcPr>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12 (3.4%)</w:t>
            </w:r>
          </w:p>
        </w:tc>
        <w:tc>
          <w:tcPr>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OR=4.74 [1.44, 15.59] (p=0.017)</w:t>
            </w: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Repeated strokes (after treatment)</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 (6.2%)</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6 (2.1%)</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9 (2.7%)</w:t>
            </w:r>
          </w:p>
        </w:tc>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V=0.18 (p=0.014)</w:t>
            </w:r>
          </w:p>
        </w:tc>
      </w:tr>
      <w:tr>
        <w:trPr>
          <w:cantSplit/>
          <w:trHeight w:val="288" w:hRule="auto"/>
        </w:trPr>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33 (68.8%)</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246 (86.6%)</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279 (84.0%)</w:t>
            </w:r>
          </w:p>
        </w:tc>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deceased after discharge</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0</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 (0.4%)</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 (0.3%)</w:t>
            </w:r>
          </w:p>
        </w:tc>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deceased in hospital</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12 (25.0%)</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31 (10.9%)</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43 (13.0%)</w:t>
            </w:r>
          </w:p>
        </w:tc>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SBP at presentation (mmHg)</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156.72 ±26.6</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156.38 ±26.1</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155.83 ±28.5</w:t>
            </w:r>
          </w:p>
        </w:tc>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 p=0.898</w:t>
            </w: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158 (112:220)</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154.5 (90:260)</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155.5 (0:260)</w:t>
            </w:r>
          </w:p>
        </w:tc>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DBP at presentation (mmHg)</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μ ±SD</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92.88 ±19.3</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88.16 ±16.4</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88.43 ±18.0</w:t>
            </w:r>
          </w:p>
        </w:tc>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MW: p=0.199</w:t>
            </w: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M (min:max)</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89.5 (68:150)</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87 (50:156)</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86.5 (0:156)</w:t>
            </w:r>
          </w:p>
        </w:tc>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Rankin score at discharge</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μ ±SD</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5.02 ±1.64</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3.71 ±1.87</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3.91 ±1.9</w:t>
            </w:r>
          </w:p>
        </w:tc>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MW: p&lt;0.001</w:t>
            </w: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 (min:max)</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5 (1:7)</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 (1:7)</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4 (1:7)</w:t>
            </w:r>
          </w:p>
        </w:tc>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Rankin score at 3 months</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μ ±SD</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4.29 ±1.98</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3.20 ±1.98</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3.38 ±2.04</w:t>
            </w:r>
          </w:p>
        </w:tc>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MW: p=0.002</w:t>
            </w: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 (min:max)</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4 (1:7)</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 (1:7)</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 (1:7)</w:t>
            </w:r>
          </w:p>
        </w:tc>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Hemorrhagic transformation type</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 (42.6%)</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 (NA)</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20 (42.6%)</w:t>
            </w:r>
          </w:p>
        </w:tc>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V=NA (p&gt;0.999)</w:t>
            </w:r>
          </w:p>
        </w:tc>
      </w:tr>
      <w:tr>
        <w:trPr>
          <w:cantSplit/>
          <w:trHeight w:val="288" w:hRule="auto"/>
        </w:trPr>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 (21.3%)</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 (NA)</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 (21.3%)</w:t>
            </w:r>
          </w:p>
        </w:tc>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 (23.4%)</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 (NA)</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11 (23.4%)</w:t>
            </w:r>
          </w:p>
        </w:tc>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 (12.8%)</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 (NA)</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 (12.8%)</w:t>
            </w:r>
          </w:p>
        </w:tc>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gridSpan w:val="2"/>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Significant extracerebral hemorrhage</w:t>
            </w:r>
          </w:p>
        </w:tc>
        <w:tc>
          <w:tcPr>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(2.0%)</w:t>
            </w:r>
          </w:p>
        </w:tc>
        <w:tc>
          <w:tcPr>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(0.3%)</w:t>
            </w:r>
          </w:p>
        </w:tc>
        <w:tc>
          <w:tcPr>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 (0.6%)</w:t>
            </w:r>
          </w:p>
        </w:tc>
        <w:tc>
          <w:tcPr>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OR=6.04 [0.37, 98.18] (p=0.268)</w:t>
            </w: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Symptoms</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0</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0</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27 (50.0%)</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27 (26.5%)</w:t>
            </w:r>
          </w:p>
        </w:tc>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V=0.64 (p&lt;0.001)</w:t>
            </w:r>
          </w:p>
        </w:tc>
      </w:tr>
      <w:tr>
        <w:trPr>
          <w:cantSplit/>
          <w:trHeight w:val="288" w:hRule="auto"/>
        </w:trPr>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14 (29.2%)</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0</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14 (13.7%)</w:t>
            </w:r>
          </w:p>
        </w:tc>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34 (70.8%)</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27 (50.0%)</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61 (59.8%)</w:t>
            </w:r>
          </w:p>
        </w:tc>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gridSpan w:val="2"/>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Seizures</w:t>
            </w:r>
          </w:p>
        </w:tc>
        <w:tc>
          <w:tcPr>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 (6.0%)</w:t>
            </w:r>
          </w:p>
        </w:tc>
        <w:tc>
          <w:tcPr>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 (2.0%)</w:t>
            </w:r>
          </w:p>
        </w:tc>
        <w:tc>
          <w:tcPr>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 (2.6%)</w:t>
            </w:r>
          </w:p>
        </w:tc>
        <w:tc>
          <w:tcPr>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OR=3.10 [0.75, 12.80] (p=0.126)</w:t>
            </w:r>
          </w:p>
        </w:tc>
      </w:tr>
      <w:tr>
        <w:trPr>
          <w:cantSplit/>
          <w:trHeight w:val="288" w:hRule="auto"/>
        </w:trPr>
        <w:tc>
          <w:tcPr>
            <w:gridSpan w:val="2"/>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Deceased while in hospital</w:t>
            </w:r>
          </w:p>
        </w:tc>
        <w:tc>
          <w:tcPr>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12 (24.5%)</w:t>
            </w:r>
          </w:p>
        </w:tc>
        <w:tc>
          <w:tcPr>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31 (10.2%)</w:t>
            </w:r>
          </w:p>
        </w:tc>
        <w:tc>
          <w:tcPr>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43 (12.1%)</w:t>
            </w:r>
          </w:p>
        </w:tc>
        <w:tc>
          <w:tcPr>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OR=2.87 [1.35, 6.07] (p=0.008)</w:t>
            </w: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Time of death (in hospital)</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(8.3%)</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 (10.3%)</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 (9.8%)</w:t>
            </w:r>
          </w:p>
        </w:tc>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V=0.04 (p=0.971)</w:t>
            </w:r>
          </w:p>
        </w:tc>
      </w:tr>
      <w:tr>
        <w:trPr>
          <w:cantSplit/>
          <w:trHeight w:val="288" w:hRule="auto"/>
        </w:trPr>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(8.3%)</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 (6.9%)</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 (7.3%)</w:t>
            </w:r>
          </w:p>
        </w:tc>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 (83.3%)</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24 (82.8%)</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34 (82.9%)</w:t>
            </w:r>
          </w:p>
        </w:tc>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Cause of death (in hospital)</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5 (41.7%)</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17 (58.6%)</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22 (53.7%)</w:t>
            </w:r>
          </w:p>
        </w:tc>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V=0.68 (p=0.002)</w:t>
            </w:r>
          </w:p>
        </w:tc>
      </w:tr>
      <w:tr>
        <w:trPr>
          <w:cantSplit/>
          <w:trHeight w:val="288" w:hRule="auto"/>
        </w:trPr>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5 (41.7%)</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0</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5 (12.2%)</w:t>
            </w:r>
          </w:p>
        </w:tc>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4</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 (8.3%)</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0</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 (2.4%)</w:t>
            </w:r>
          </w:p>
        </w:tc>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6</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 (8.3%)</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 (6.9%)</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 (7.3%)</w:t>
            </w:r>
          </w:p>
        </w:tc>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7</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0</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5 (17.2%)</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5 (12.2%)</w:t>
            </w:r>
          </w:p>
        </w:tc>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8</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0</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5 (17.2%)</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5 (12.2%)</w:t>
            </w:r>
          </w:p>
        </w:tc>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Deceased after discharge</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8 (16.7%)</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25 (8.8%)</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33 (9.9%)</w:t>
            </w:r>
          </w:p>
        </w:tc>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V=0.20 (p=0.009)</w:t>
            </w:r>
          </w:p>
        </w:tc>
      </w:tr>
      <w:tr>
        <w:trPr>
          <w:cantSplit/>
          <w:trHeight w:val="288" w:hRule="auto"/>
        </w:trPr>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28 (58.3%)</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230 (80.7%)</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258 (77.5%)</w:t>
            </w:r>
          </w:p>
        </w:tc>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9</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0</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 (0.4%)</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 (0.3%)</w:t>
            </w:r>
          </w:p>
        </w:tc>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deceased after discharge</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0</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 (0.4%)</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 (0.3%)</w:t>
            </w:r>
          </w:p>
        </w:tc>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deceased in hospital</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12 (25.0%)</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28 (9.8%)</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40 (12.0%)</w:t>
            </w:r>
          </w:p>
        </w:tc>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Cause of death (after discharge)</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 (12.5%)</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 (9.1%)</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 (10.0%)</w:t>
            </w:r>
          </w:p>
        </w:tc>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V=0.46 (p=0.247)</w:t>
            </w:r>
          </w:p>
        </w:tc>
      </w:tr>
      <w:tr>
        <w:trPr>
          <w:cantSplit/>
          <w:trHeight w:val="288" w:hRule="auto"/>
        </w:trPr>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(6.2%)</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(1.7%)</w:t>
            </w:r>
          </w:p>
        </w:tc>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 (12.5%)</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(2.3%)</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 (5.0%)</w:t>
            </w:r>
          </w:p>
        </w:tc>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4</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(6.2%)</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 (15.9%)</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 (13.3%)</w:t>
            </w:r>
          </w:p>
        </w:tc>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(6.2%)</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(1.7%)</w:t>
            </w:r>
          </w:p>
        </w:tc>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(2.3%)</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(1.7%)</w:t>
            </w:r>
          </w:p>
        </w:tc>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 (11.4%)</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 (8.3%)</w:t>
            </w:r>
          </w:p>
        </w:tc>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(2.3%)</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(1.7%)</w:t>
            </w:r>
          </w:p>
        </w:tc>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9</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(6.2%)</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 (13.6%)</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 (11.7%)</w:t>
            </w:r>
          </w:p>
        </w:tc>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deceased after discharge</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8 (50.0%)</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18 (40.9%)</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26 (43.3%)</w:t>
            </w:r>
          </w:p>
        </w:tc>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deceased in hospital</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(2.3%)</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(1.7%)</w:t>
            </w:r>
          </w:p>
        </w:tc>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ASPECT score at admission</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μ ±SD</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8.84 ±1.26</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9.39 ±0.972</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9.32 ±1.03</w:t>
            </w:r>
          </w:p>
        </w:tc>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MW: p&lt;0.001</w:t>
            </w: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 (min:max)</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9 (5:10)</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10 (5:10)</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10 (5:10)</w:t>
            </w:r>
          </w:p>
        </w:tc>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ASPECT score at 24 hours</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μ ±SD</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6.53 ±2.8</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8.35 ±2.01</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8.12 ±2.22</w:t>
            </w:r>
          </w:p>
        </w:tc>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MW: p&lt;0.001</w:t>
            </w: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 (min:max)</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7 (1:10)</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9 (1:10)</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9 (1:10)</w:t>
            </w:r>
          </w:p>
        </w:tc>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Rankin score at 3 months (deceased)</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deceased after discharge</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0</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 (0.3%)</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 (0.3%)</w:t>
            </w:r>
          </w:p>
        </w:tc>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V=0.15 (p=0.019)</w:t>
            </w:r>
          </w:p>
        </w:tc>
      </w:tr>
      <w:tr>
        <w:trPr>
          <w:cantSplit/>
          <w:trHeight w:val="288" w:hRule="auto"/>
        </w:trPr>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deceased in hospital</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12 (25.5%)</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31 (10.8%)</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43 (12.9%)</w:t>
            </w:r>
          </w:p>
        </w:tc>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no</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35 (74.5%)</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255 (88.9%)</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290 (86.8%)</w:t>
            </w:r>
          </w:p>
        </w:tc>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Barthel Index at 3 months</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μ ±SD</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12.16 ±7.62</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14.81 ±6.81</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14.28 ±7.12</w:t>
            </w:r>
          </w:p>
        </w:tc>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MW: p=0.038</w:t>
            </w: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M (min:max)</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15 (0:20)</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18 (0:20)</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18 (0:20)</w:t>
            </w:r>
          </w:p>
        </w:tc>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Barthel Index at 3 months (deceased)</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deceased after discharge</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6 (12.2%)</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26 (8.4%)</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32 (9.0%)</w:t>
            </w:r>
          </w:p>
        </w:tc>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V=0.17 (p=0.008)</w:t>
            </w:r>
          </w:p>
        </w:tc>
      </w:tr>
      <w:tr>
        <w:trPr>
          <w:cantSplit/>
          <w:trHeight w:val="288" w:hRule="auto"/>
        </w:trPr>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deceased in hospital</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12 (24.5%)</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31 (10.1%)</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43 (12.0%)</w:t>
            </w:r>
          </w:p>
        </w:tc>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no</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31 (63.3%)</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251 (81.5%)</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20"/>
                <w:szCs w:val="20"/>
                <w:color w:val="111111"/>
              </w:rPr>
              <w:t xml:space="preserve">282 (79.0%)</w:t>
            </w:r>
          </w:p>
        </w:tc>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Type of death (in hospital)</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 (15.4%)</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 (16.7%)</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 (16.3%)</w:t>
            </w:r>
          </w:p>
        </w:tc>
        <w:tc>
          <w:tcPr>
            <w:vMerge w:val="restart"/>
            <w:tcBorders>
              <w:bottom w:val="dashed" w:sz="8"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V=0.27 (p=0.528)</w:t>
            </w:r>
          </w:p>
        </w:tc>
      </w:tr>
      <w:tr>
        <w:trPr>
          <w:cantSplit/>
          <w:trHeight w:val="288" w:hRule="auto"/>
        </w:trPr>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(7.7%)</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(2.3%)</w:t>
            </w:r>
          </w:p>
        </w:tc>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(3.3%)</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(2.3%)</w:t>
            </w:r>
          </w:p>
        </w:tc>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deceased after discharge</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0</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(3.3%)</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 (2.3%)</w:t>
            </w:r>
          </w:p>
        </w:tc>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deceased in hospital</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10 (76.9%)</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23 (76.7%)</w:t>
            </w:r>
          </w:p>
        </w:tc>
        <w:tc>
          <w:tcPr>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33 (76.7%)</w:t>
            </w:r>
          </w:p>
        </w:tc>
        <w:tc>
          <w:tcPr>
            <w:vMerge/>
            <w:tcBorders>
              <w:bottom w:val="dashed"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val="restart"/>
            <w:tcBorders>
              <w:bottom w:val="single" w:sz="16"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Age groups</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≤50</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6 (12.0%)</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 (9.4%)</w:t>
            </w:r>
          </w:p>
        </w:tc>
        <w:tc>
          <w:tcPr>
            <w:tcBorders>
              <w:bottom w:val="nil"/>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35 (9.8%)</w:t>
            </w:r>
          </w:p>
        </w:tc>
        <w:tc>
          <w:tcPr>
            <w:vMerge w:val="restart"/>
            <w:tcBorders>
              <w:bottom w:val="single" w:sz="16" w:space="0" w:color="000000"/>
              <w:top w:val="dashed" w:sz="8" w:space="0" w:color="000000"/>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V=0.11 (p=0.109)</w:t>
            </w:r>
          </w:p>
        </w:tc>
      </w:tr>
      <w:tr>
        <w:trPr>
          <w:cantSplit/>
          <w:trHeight w:val="288" w:hRule="auto"/>
        </w:trPr>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51-69</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 (30.0%)</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141 (45.9%)</w:t>
            </w:r>
          </w:p>
        </w:tc>
        <w:tc>
          <w:tcPr>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156 (43.7%)</w:t>
            </w:r>
          </w:p>
        </w:tc>
        <w:tc>
          <w:tcPr>
            <w:vMerge/>
            <w:tcBorders>
              <w:bottom w:val="nil"/>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vMerge/>
            <w:tcBorders>
              <w:bottom w:val="single" w:sz="16"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c>
          <w:tcPr>
            <w:tcBorders>
              <w:bottom w:val="single" w:sz="16"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≥70</w:t>
            </w:r>
          </w:p>
        </w:tc>
        <w:tc>
          <w:tcPr>
            <w:tcBorders>
              <w:bottom w:val="single" w:sz="16"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29 (58.0%)</w:t>
            </w:r>
          </w:p>
        </w:tc>
        <w:tc>
          <w:tcPr>
            <w:tcBorders>
              <w:bottom w:val="single" w:sz="16"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137 (44.6%)</w:t>
            </w:r>
          </w:p>
        </w:tc>
        <w:tc>
          <w:tcPr>
            <w:tcBorders>
              <w:bottom w:val="single" w:sz="16"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111111"/>
              </w:rPr>
              <w:t xml:space="preserve">166 (46.5%)</w:t>
            </w:r>
          </w:p>
        </w:tc>
        <w:tc>
          <w:tcPr>
            <w:vMerge/>
            <w:tcBorders>
              <w:bottom w:val="single" w:sz="16"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p>
        </w:tc>
      </w:tr>
      <w:tr>
        <w:trPr>
          <w:cantSplit/>
          <w:trHeight w:val="288" w:hRule="auto"/>
        </w:trPr>
        <w:tc>
          <w:tcPr>
            <w:gridSpan w:val="6"/>
            <w:tcBorders>
              <w:bottom w:val="single" w:sz="8" w:space="0" w:color="000000"/>
              <w:top w:val="nil"/>
              <w:left w:val="nil"/>
              <w:right w:val="nil"/>
            </w:tcBorders>
            <w:shd w:val="clear" w:color="auto" w:fill="FFFFFF"/>
            <w:tcMar>
              <w:top w:w="0" w:type="dxa"/>
              <w:bottom w:w="0" w:type="dxa"/>
              <w:left w:w="0" w:type="dxa"/>
              <w:right w:w="0" w:type="dxa"/>
            </w:tcMar>
            <w:vAlign w:val="center"/>
          </w:tcPr>
          <w:p>
            <w:pPr>
              <w:jc w:val="left"/>
              <w:bottom w:val="nil"/>
              <w:top w:val="nil"/>
              <w:left w:val="nil"/>
              <w:right w:val="nil"/>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sz w:val="20"/>
                <w:szCs w:val="20"/>
                <w:color w:val="000000"/>
              </w:rPr>
              <w:t xml:space="preserve">μ ±SD = Mean (standard deviation); M (min:max) = Median (min:max); MW = Mann-Whitney Test; Welch = Welch T-Test (not assuming equal variances); OR/RR = odds-ratio / risk-ratio [95% CI] and p value from Fisher test); V = Cramér V (p value from Chi² test); </w:t>
            </w:r>
          </w:p>
        </w:tc>
      </w:tr>
    </w:tbl>
    <w:p>
      <w:pPr>
        <w:pStyle w:val="2"/>
      </w:pPr>
      <w:bookmarkStart w:id="74" w:name="references"/>
      <w:r>
        <w:t xml:space="preserve">References</w:t>
      </w:r>
      <w:bookmarkEnd w:id="74"/>
    </w:p>
    <w:p>
      <w:pPr>
        <w:numPr>
          <w:ilvl w:val="0"/>
          <w:numId w:val="1001"/>
        </w:numPr>
      </w:pPr>
      <w:r>
        <w:t xml:space="preserve">R Core Team (2020). R: A language and environment for statistical computing. R Foundation for Statistical Computing, Vienna, Austria. URL</w:t>
      </w:r>
      <w:r>
        <w:t xml:space="preserve"> </w:t>
      </w:r>
      <w:hyperlink r:id="rId75">
        <w:r>
          <w:rPr>
            <w:rStyle w:val="26"/>
          </w:rPr>
          <w:t xml:space="preserve">https://www.R-project.org/</w:t>
        </w:r>
      </w:hyperlink>
      <w:r>
        <w:t xml:space="preserve">.</w:t>
      </w:r>
    </w:p>
    <w:sectPr>
      <w:headerReference r:id="rId9" w:type="first"/>
      <w:footerReference r:id="rId10" w:type="first"/>
      <w:footerReference r:id="rId11" w:type="default"/>
      <w:pgSz w:w="9979" w:h="14170"/>
      <w:pgMar w:top="1134" w:right="1134" w:bottom="1134" w:left="1418" w:header="720" w:footer="720" w:gutter="0"/>
      <w:cols w:space="720" w:num="1"/>
      <w:titlePg/>
      <w:docGrid w:linePitch="326"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微软雅黑"/>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MS Gothic">
    <w:panose1 w:val="020B0609070205080204"/>
    <w:charset w:val="80"/>
    <w:family w:val="modern"/>
    <w:pitch w:val="default"/>
    <w:sig w:usb0="E00002FF" w:usb1="6AC7FDFB" w:usb2="08000012" w:usb3="00000000" w:csb0="4002009F" w:csb1="DFD70000"/>
  </w:font>
  <w:font w:name="Consolas">
    <w:panose1 w:val="020B0609020204030204"/>
    <w:charset w:val="00"/>
    <w:family w:val="modern"/>
    <w:pitch w:val="default"/>
    <w:sig w:usb0="E00006FF" w:usb1="0000FCFF" w:usb2="00000001" w:usb3="00000000" w:csb0="6000019F" w:csb1="DFD70000"/>
  </w:font>
  <w:font w:name="黑体">
    <w:altName w:val="微软雅黑"/>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Adobe Fan Heiti Std">
    <w:panose1 w:val="020B0700000000000000"/>
    <w:charset w:val="88"/>
    <w:family w:val="auto"/>
    <w:pitch w:val="default"/>
    <w:sig w:usb0="00000001" w:usb1="1A0F1900" w:usb2="00000016" w:usb3="00000000" w:csb0="00120005" w:csb1="00000000"/>
  </w:font>
  <w:font w:name="AkrutiTml1">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28040186"/>
      <w:docPartObj>
        <w:docPartGallery w:val="AutoText"/>
      </w:docPartObj>
    </w:sdtPr>
    <w:sdtContent>
      <w:p>
        <w:pPr>
          <w:pStyle w:val="15"/>
          <w:jc w:val="center"/>
        </w:pPr>
        <w:r>
          <w:fldChar w:fldCharType="begin"/>
        </w:r>
        <w:r>
          <w:instrText xml:space="preserve"> PAGE   \* MERGEFORMAT </w:instrText>
        </w:r>
        <w:r>
          <w:fldChar w:fldCharType="separate"/>
        </w:r>
        <w:r>
          <w:t>4</w:t>
        </w:r>
        <w:r>
          <w:fldChar w:fldCharType="end"/>
        </w:r>
      </w:p>
    </w:sdtContent>
  </w:sdt>
  <w:p>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center"/>
    </w:pPr>
    <w:r>
      <w:rPr>
        <w:b/>
      </w:rPr>
      <w:fldChar w:fldCharType="begin"/>
    </w:r>
    <w:r>
      <w:rPr>
        <w:b/>
      </w:rPr>
      <w:instrText xml:space="preserve"> TIME  \@ "yyyy"  \* MERGEFORMAT </w:instrText>
    </w:r>
    <w:r>
      <w:rPr>
        <w:b/>
      </w:rPr>
      <w:fldChar w:fldCharType="separate"/>
    </w:r>
    <w:r>
      <w:rPr>
        <w:b/>
      </w:rPr>
      <w:t>2019</w:t>
    </w:r>
    <w:r>
      <w:rPr>
        <w:b/>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5911"/>
      </w:tabs>
      <w:jc w:val="center"/>
      <w:rPr>
        <w:rFonts w:ascii="Arial" w:hAnsi="Arial" w:eastAsia="Arial" w:cs="Arial"/>
        <w:b/>
        <w:color w:val="000000"/>
        <w:sz w:val="28"/>
        <w:szCs w:val="32"/>
        <w:lang w:val="ro-RO"/>
      </w:rPr>
    </w:pPr>
    <w:r>
      <w:rPr>
        <w:rFonts w:ascii="Arial" w:hAnsi="Arial" w:eastAsia="Arial" w:cs="Arial"/>
        <w:b/>
        <w:color w:val="000000"/>
        <w:sz w:val="28"/>
        <w:szCs w:val="32"/>
        <w:lang w:val="ro-RO"/>
      </w:rPr>
      <w:t>Universitatea de Medicină şi Farmacie “Iuliu Haţieganu”</w:t>
    </w:r>
    <w:r>
      <w:rPr>
        <w:rFonts w:ascii="Arial" w:hAnsi="Arial" w:eastAsia="Arial" w:cs="Arial"/>
        <w:b/>
        <w:color w:val="000000"/>
        <w:sz w:val="28"/>
        <w:szCs w:val="32"/>
        <w:lang w:val="ro-RO"/>
      </w:rPr>
      <w:br w:type="textWrapping"/>
    </w:r>
    <w:r>
      <w:rPr>
        <w:rFonts w:ascii="Arial" w:hAnsi="Arial" w:eastAsia="Arial" w:cs="Arial"/>
        <w:b/>
        <w:color w:val="000000"/>
        <w:sz w:val="28"/>
        <w:szCs w:val="32"/>
        <w:lang w:val="ro-RO"/>
      </w:rPr>
      <w:t>Cluj-Napoca</w:t>
    </w:r>
    <w:r>
      <w:rPr>
        <w:rFonts w:ascii="Arial" w:hAnsi="Arial" w:eastAsia="Arial" w:cs="Arial"/>
        <w:b/>
        <w:color w:val="000000"/>
        <w:sz w:val="28"/>
        <w:szCs w:val="32"/>
        <w:lang w:val="ro-RO"/>
      </w:rPr>
      <w:br w:type="textWrapping"/>
    </w:r>
    <w:r>
      <w:rPr>
        <w:rFonts w:ascii="Arial" w:hAnsi="Arial" w:eastAsia="Arial" w:cs="Arial"/>
        <w:b/>
        <w:color w:val="000000"/>
        <w:sz w:val="28"/>
        <w:szCs w:val="32"/>
        <w:lang w:val="ro-RO"/>
      </w:rPr>
      <w:t>Facultatea de Medicină</w:t>
    </w:r>
  </w:p>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2775B"/>
    <w:multiLevelType w:val="multilevel"/>
    <w:tmpl w:val="1482775B"/>
    <w:lvl w:ilvl="0" w:tentative="0">
      <w:start w:val="1"/>
      <w:numFmt w:val="upperRoman"/>
      <w:pStyle w:val="2"/>
      <w:lvlText w:val="%1."/>
      <w:lvlJc w:val="right"/>
      <w:pPr>
        <w:ind w:left="360" w:hanging="360"/>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iPriority="0" w:name="index 7"/>
    <w:lsdException w:uiPriority="0" w:name="index 8"/>
    <w:lsdException w:uiPriority="0" w:name="index 9"/>
    <w:lsdException w:uiPriority="39" w:semiHidden="0" w:name="toc 1"/>
    <w:lsdException w:uiPriority="39" w:semiHidden="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9" w:semiHidden="0" w:name="footnote text"/>
    <w:lsdException w:uiPriority="0" w:name="annotation text"/>
    <w:lsdException w:uiPriority="0" w:semiHidden="0" w:name="header"/>
    <w:lsdException w:uiPriority="99" w:semiHidden="0" w:name="footer"/>
    <w:lsdException w:uiPriority="0" w:name="index heading"/>
    <w:lsdException w:qFormat="1" w:uiPriority="35" w:semiHidden="0" w:name="caption"/>
    <w:lsdException w:uiPriority="0" w:name="table of figures"/>
    <w:lsdException w:uiPriority="0" w:name="envelope address"/>
    <w:lsdException w:uiPriority="0" w:name="envelope return"/>
    <w:lsdException w:unhideWhenUsed="0" w:uiPriority="0" w:semiHidden="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nhideWhenUsed="0" w:uiPriority="0" w:semiHidden="0" w:name="List Number 2"/>
    <w:lsdException w:uiPriority="0" w:name="List Number 3"/>
    <w:lsdException w:uiPriority="0" w:name="List Number 4"/>
    <w:lsdException w:unhideWhenUsed="0" w:uiPriority="0" w:semiHidden="0" w:name="List Number 5"/>
    <w:lsdException w:qFormat="1" w:unhideWhenUsed="0" w:uiPriority="10" w:semiHidden="0" w:name="Title"/>
    <w:lsdException w:uiPriority="0" w:name="Closing"/>
    <w:lsdException w:uiPriority="0" w:name="Signature"/>
    <w:lsdException w:uiPriority="1" w:name="Default Paragraph Font"/>
    <w:lsdException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nhideWhenUsed="0" w:uiPriority="0" w:semiHidden="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nhideWhenUsed="0" w:uiPriority="0" w:semiHidden="0" w:name="Body Text Indent 3"/>
    <w:lsdException w:uiPriority="9" w:semiHidden="0" w:name="Block Text"/>
    <w:lsdException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39"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360" w:lineRule="auto"/>
      <w:jc w:val="both"/>
    </w:pPr>
    <w:rPr>
      <w:rFonts w:asciiTheme="minorHAnsi" w:hAnsiTheme="minorHAnsi" w:eastAsiaTheme="minorEastAsia" w:cstheme="minorBidi"/>
      <w:sz w:val="22"/>
      <w:szCs w:val="22"/>
      <w:lang w:val="en-US" w:eastAsia="en-US" w:bidi="ar-SA"/>
    </w:rPr>
  </w:style>
  <w:style w:type="paragraph" w:styleId="2">
    <w:name w:val="heading 1"/>
    <w:basedOn w:val="1"/>
    <w:next w:val="1"/>
    <w:link w:val="75"/>
    <w:qFormat/>
    <w:uiPriority w:val="9"/>
    <w:pPr>
      <w:keepNext/>
      <w:keepLines/>
      <w:pageBreakBefore/>
      <w:numPr>
        <w:ilvl w:val="0"/>
        <w:numId w:val="1"/>
      </w:numPr>
      <w:pBdr>
        <w:bottom w:val="single" w:color="585858" w:themeColor="text1" w:themeTint="A6" w:sz="4" w:space="1"/>
      </w:pBdr>
      <w:spacing w:before="360"/>
      <w:outlineLvl w:val="0"/>
    </w:pPr>
    <w:rPr>
      <w:rFonts w:asciiTheme="majorHAnsi" w:hAnsiTheme="majorHAnsi" w:eastAsiaTheme="majorEastAsia" w:cstheme="majorBidi"/>
      <w:b/>
      <w:bCs/>
      <w:smallCaps/>
      <w:color w:val="000000" w:themeColor="text1"/>
      <w:sz w:val="36"/>
      <w:szCs w:val="36"/>
    </w:rPr>
  </w:style>
  <w:style w:type="paragraph" w:styleId="3">
    <w:name w:val="heading 2"/>
    <w:basedOn w:val="1"/>
    <w:next w:val="1"/>
    <w:link w:val="76"/>
    <w:unhideWhenUsed/>
    <w:qFormat/>
    <w:uiPriority w:val="9"/>
    <w:pPr>
      <w:keepNext/>
      <w:keepLines/>
      <w:pageBreakBefore/>
      <w:numPr>
        <w:ilvl w:val="1"/>
        <w:numId w:val="1"/>
      </w:numPr>
      <w:spacing w:before="360" w:after="0"/>
      <w:outlineLvl w:val="1"/>
    </w:pPr>
    <w:rPr>
      <w:rFonts w:ascii="Arial" w:hAnsi="Arial" w:eastAsia="MS Gothic" w:cs="Times New Roman"/>
      <w:b/>
      <w:bCs/>
      <w:smallCaps/>
      <w:color w:val="000000"/>
      <w:sz w:val="28"/>
      <w:szCs w:val="28"/>
      <w:lang w:val="ro-RO"/>
    </w:rPr>
  </w:style>
  <w:style w:type="paragraph" w:styleId="4">
    <w:name w:val="heading 3"/>
    <w:basedOn w:val="1"/>
    <w:next w:val="1"/>
    <w:link w:val="77"/>
    <w:unhideWhenUsed/>
    <w:qFormat/>
    <w:uiPriority w:val="9"/>
    <w:pPr>
      <w:keepNext/>
      <w:keepLines/>
      <w:numPr>
        <w:ilvl w:val="2"/>
        <w:numId w:val="1"/>
      </w:numPr>
      <w:spacing w:before="200" w:after="0"/>
      <w:outlineLvl w:val="2"/>
    </w:pPr>
    <w:rPr>
      <w:rFonts w:ascii="Arial" w:hAnsi="Arial" w:eastAsia="MS Gothic" w:cs="Times New Roman"/>
      <w:b/>
      <w:bCs/>
      <w:color w:val="000000"/>
      <w:lang w:val="ro-RO"/>
    </w:rPr>
  </w:style>
  <w:style w:type="paragraph" w:styleId="5">
    <w:name w:val="heading 4"/>
    <w:basedOn w:val="1"/>
    <w:next w:val="1"/>
    <w:link w:val="78"/>
    <w:unhideWhenUsed/>
    <w:qFormat/>
    <w:uiPriority w:val="9"/>
    <w:pPr>
      <w:keepNext/>
      <w:keepLines/>
      <w:numPr>
        <w:ilvl w:val="3"/>
        <w:numId w:val="1"/>
      </w:numPr>
      <w:spacing w:before="200" w:after="0"/>
      <w:outlineLvl w:val="3"/>
    </w:pPr>
    <w:rPr>
      <w:rFonts w:ascii="Arial" w:hAnsi="Arial" w:eastAsia="MS Gothic" w:cs="Times New Roman"/>
      <w:b/>
      <w:bCs/>
      <w:i/>
      <w:iCs/>
      <w:color w:val="000000"/>
      <w:lang w:val="ro-RO"/>
    </w:rPr>
  </w:style>
  <w:style w:type="paragraph" w:styleId="6">
    <w:name w:val="heading 5"/>
    <w:basedOn w:val="1"/>
    <w:next w:val="1"/>
    <w:link w:val="79"/>
    <w:unhideWhenUsed/>
    <w:qFormat/>
    <w:uiPriority w:val="9"/>
    <w:pPr>
      <w:keepNext/>
      <w:keepLines/>
      <w:numPr>
        <w:ilvl w:val="4"/>
        <w:numId w:val="1"/>
      </w:numPr>
      <w:spacing w:before="200" w:after="0"/>
      <w:outlineLvl w:val="4"/>
    </w:pPr>
    <w:rPr>
      <w:rFonts w:asciiTheme="majorHAnsi" w:hAnsiTheme="majorHAnsi" w:eastAsiaTheme="majorEastAsia" w:cstheme="majorBidi"/>
      <w:color w:val="323E4F" w:themeColor="text2" w:themeShade="BF"/>
    </w:rPr>
  </w:style>
  <w:style w:type="paragraph" w:styleId="7">
    <w:name w:val="heading 6"/>
    <w:basedOn w:val="1"/>
    <w:next w:val="1"/>
    <w:link w:val="80"/>
    <w:unhideWhenUsed/>
    <w:qFormat/>
    <w:uiPriority w:val="9"/>
    <w:pPr>
      <w:keepNext/>
      <w:keepLines/>
      <w:numPr>
        <w:ilvl w:val="5"/>
        <w:numId w:val="1"/>
      </w:numPr>
      <w:spacing w:before="200" w:after="0"/>
      <w:outlineLvl w:val="5"/>
    </w:pPr>
    <w:rPr>
      <w:rFonts w:asciiTheme="majorHAnsi" w:hAnsiTheme="majorHAnsi" w:eastAsiaTheme="majorEastAsia" w:cstheme="majorBidi"/>
      <w:i/>
      <w:iCs/>
      <w:color w:val="323E4F" w:themeColor="text2" w:themeShade="BF"/>
    </w:rPr>
  </w:style>
  <w:style w:type="paragraph" w:styleId="8">
    <w:name w:val="heading 7"/>
    <w:basedOn w:val="1"/>
    <w:next w:val="1"/>
    <w:link w:val="81"/>
    <w:unhideWhenUsed/>
    <w:qFormat/>
    <w:uiPriority w:val="9"/>
    <w:pPr>
      <w:keepNext/>
      <w:keepLines/>
      <w:numPr>
        <w:ilvl w:val="6"/>
        <w:numId w:val="1"/>
      </w:numPr>
      <w:spacing w:before="200" w:after="0"/>
      <w:outlineLvl w:val="6"/>
    </w:pPr>
    <w:rPr>
      <w:rFonts w:asciiTheme="majorHAnsi" w:hAnsiTheme="majorHAnsi" w:eastAsiaTheme="majorEastAsia" w:cstheme="majorBidi"/>
      <w:i/>
      <w:iCs/>
      <w:color w:val="3F3F3F" w:themeColor="text1" w:themeTint="BF"/>
    </w:rPr>
  </w:style>
  <w:style w:type="paragraph" w:styleId="9">
    <w:name w:val="heading 8"/>
    <w:basedOn w:val="1"/>
    <w:next w:val="1"/>
    <w:link w:val="82"/>
    <w:unhideWhenUsed/>
    <w:qFormat/>
    <w:uiPriority w:val="9"/>
    <w:pPr>
      <w:keepNext/>
      <w:keepLines/>
      <w:numPr>
        <w:ilvl w:val="7"/>
        <w:numId w:val="1"/>
      </w:numPr>
      <w:spacing w:before="200" w:after="0"/>
      <w:outlineLvl w:val="7"/>
    </w:pPr>
    <w:rPr>
      <w:rFonts w:asciiTheme="majorHAnsi" w:hAnsiTheme="majorHAnsi" w:eastAsiaTheme="majorEastAsia" w:cstheme="majorBidi"/>
      <w:color w:val="3F3F3F" w:themeColor="text1" w:themeTint="BF"/>
      <w:sz w:val="20"/>
      <w:szCs w:val="20"/>
    </w:rPr>
  </w:style>
  <w:style w:type="paragraph" w:styleId="10">
    <w:name w:val="heading 9"/>
    <w:basedOn w:val="1"/>
    <w:next w:val="1"/>
    <w:link w:val="83"/>
    <w:unhideWhenUsed/>
    <w:qFormat/>
    <w:uiPriority w:val="9"/>
    <w:pPr>
      <w:keepNext/>
      <w:keepLines/>
      <w:numPr>
        <w:ilvl w:val="8"/>
        <w:numId w:val="1"/>
      </w:numPr>
      <w:spacing w:before="200" w:after="0"/>
      <w:outlineLvl w:val="8"/>
    </w:pPr>
    <w:rPr>
      <w:rFonts w:asciiTheme="majorHAnsi" w:hAnsiTheme="majorHAnsi" w:eastAsiaTheme="majorEastAsia" w:cstheme="majorBidi"/>
      <w:i/>
      <w:iCs/>
      <w:color w:val="3F3F3F" w:themeColor="text1" w:themeTint="BF"/>
      <w:sz w:val="20"/>
      <w:szCs w:val="20"/>
    </w:rPr>
  </w:style>
  <w:style w:type="character" w:default="1" w:styleId="22">
    <w:name w:val="Default Paragraph Font"/>
    <w:semiHidden/>
    <w:unhideWhenUsed/>
    <w:uiPriority w:val="1"/>
  </w:style>
  <w:style w:type="table" w:default="1" w:styleId="28">
    <w:name w:val="Normal Table"/>
    <w:semiHidden/>
    <w:unhideWhenUsed/>
    <w:uiPriority w:val="99"/>
    <w:tblPr>
      <w:tblLayout w:type="fixed"/>
      <w:tblCellMar>
        <w:top w:w="0" w:type="dxa"/>
        <w:left w:w="108" w:type="dxa"/>
        <w:bottom w:w="0" w:type="dxa"/>
        <w:right w:w="108" w:type="dxa"/>
      </w:tblCellMar>
    </w:tblPr>
  </w:style>
  <w:style w:type="paragraph" w:styleId="11">
    <w:name w:val="Block Text"/>
    <w:basedOn w:val="12"/>
    <w:next w:val="12"/>
    <w:unhideWhenUsed/>
    <w:uiPriority w:val="9"/>
    <w:pPr>
      <w:spacing w:before="100" w:after="100"/>
    </w:pPr>
    <w:rPr>
      <w:rFonts w:asciiTheme="majorHAnsi" w:hAnsiTheme="majorHAnsi" w:eastAsiaTheme="majorEastAsia" w:cstheme="majorBidi"/>
      <w:bCs/>
      <w:sz w:val="20"/>
      <w:szCs w:val="20"/>
    </w:rPr>
  </w:style>
  <w:style w:type="paragraph" w:styleId="12">
    <w:name w:val="Body Text"/>
    <w:basedOn w:val="1"/>
    <w:link w:val="96"/>
    <w:uiPriority w:val="0"/>
    <w:pPr>
      <w:spacing w:before="180" w:after="180"/>
    </w:pPr>
  </w:style>
  <w:style w:type="paragraph" w:styleId="13">
    <w:name w:val="caption"/>
    <w:basedOn w:val="1"/>
    <w:next w:val="1"/>
    <w:link w:val="25"/>
    <w:unhideWhenUsed/>
    <w:qFormat/>
    <w:uiPriority w:val="35"/>
    <w:pPr>
      <w:spacing w:after="200" w:line="240" w:lineRule="auto"/>
    </w:pPr>
    <w:rPr>
      <w:i/>
      <w:iCs/>
      <w:color w:val="44546A" w:themeColor="text2"/>
      <w:sz w:val="18"/>
      <w:szCs w:val="18"/>
    </w:rPr>
  </w:style>
  <w:style w:type="paragraph" w:styleId="14">
    <w:name w:val="Date"/>
    <w:next w:val="12"/>
    <w:uiPriority w:val="0"/>
    <w:pPr>
      <w:keepNext/>
      <w:keepLines/>
      <w:spacing w:after="160" w:line="360" w:lineRule="auto"/>
      <w:jc w:val="center"/>
    </w:pPr>
    <w:rPr>
      <w:rFonts w:asciiTheme="minorHAnsi" w:hAnsiTheme="minorHAnsi" w:eastAsiaTheme="minorEastAsia" w:cstheme="minorBidi"/>
      <w:sz w:val="22"/>
      <w:szCs w:val="22"/>
      <w:lang w:val="en-US" w:eastAsia="en-US" w:bidi="ar-SA"/>
    </w:rPr>
  </w:style>
  <w:style w:type="paragraph" w:styleId="15">
    <w:name w:val="footer"/>
    <w:basedOn w:val="1"/>
    <w:link w:val="98"/>
    <w:unhideWhenUsed/>
    <w:uiPriority w:val="99"/>
    <w:pPr>
      <w:tabs>
        <w:tab w:val="center" w:pos="4680"/>
        <w:tab w:val="right" w:pos="9360"/>
      </w:tabs>
      <w:spacing w:after="0" w:line="240" w:lineRule="auto"/>
    </w:pPr>
  </w:style>
  <w:style w:type="paragraph" w:styleId="16">
    <w:name w:val="footnote text"/>
    <w:basedOn w:val="1"/>
    <w:unhideWhenUsed/>
    <w:uiPriority w:val="9"/>
  </w:style>
  <w:style w:type="paragraph" w:styleId="17">
    <w:name w:val="header"/>
    <w:basedOn w:val="1"/>
    <w:link w:val="97"/>
    <w:unhideWhenUsed/>
    <w:uiPriority w:val="0"/>
    <w:pPr>
      <w:tabs>
        <w:tab w:val="center" w:pos="4680"/>
        <w:tab w:val="right" w:pos="9360"/>
      </w:tabs>
      <w:spacing w:after="0" w:line="240" w:lineRule="auto"/>
    </w:pPr>
  </w:style>
  <w:style w:type="paragraph" w:styleId="18">
    <w:name w:val="Subtitle"/>
    <w:basedOn w:val="1"/>
    <w:next w:val="1"/>
    <w:link w:val="85"/>
    <w:qFormat/>
    <w:uiPriority w:val="11"/>
    <w:rPr>
      <w:color w:val="595959" w:themeColor="text1" w:themeTint="A5"/>
      <w:spacing w:val="10"/>
    </w:rPr>
  </w:style>
  <w:style w:type="paragraph" w:styleId="19">
    <w:name w:val="Title"/>
    <w:basedOn w:val="1"/>
    <w:next w:val="1"/>
    <w:link w:val="84"/>
    <w:qFormat/>
    <w:uiPriority w:val="10"/>
    <w:pPr>
      <w:spacing w:after="0" w:line="240" w:lineRule="auto"/>
      <w:contextualSpacing/>
    </w:pPr>
    <w:rPr>
      <w:rFonts w:asciiTheme="majorHAnsi" w:hAnsiTheme="majorHAnsi" w:eastAsiaTheme="majorEastAsia" w:cstheme="majorBidi"/>
      <w:color w:val="000000" w:themeColor="text1"/>
      <w:sz w:val="56"/>
      <w:szCs w:val="56"/>
    </w:rPr>
  </w:style>
  <w:style w:type="paragraph" w:styleId="20">
    <w:name w:val="toc 1"/>
    <w:basedOn w:val="1"/>
    <w:next w:val="1"/>
    <w:unhideWhenUsed/>
    <w:uiPriority w:val="39"/>
    <w:pPr>
      <w:spacing w:after="100"/>
    </w:pPr>
  </w:style>
  <w:style w:type="paragraph" w:styleId="21">
    <w:name w:val="toc 2"/>
    <w:basedOn w:val="1"/>
    <w:next w:val="1"/>
    <w:unhideWhenUsed/>
    <w:uiPriority w:val="39"/>
    <w:pPr>
      <w:spacing w:after="100"/>
      <w:ind w:left="240"/>
    </w:pPr>
  </w:style>
  <w:style w:type="character" w:styleId="23">
    <w:name w:val="Emphasis"/>
    <w:basedOn w:val="22"/>
    <w:qFormat/>
    <w:uiPriority w:val="20"/>
    <w:rPr>
      <w:i/>
      <w:iCs/>
      <w:color w:val="auto"/>
    </w:rPr>
  </w:style>
  <w:style w:type="character" w:styleId="24">
    <w:name w:val="footnote reference"/>
    <w:basedOn w:val="25"/>
    <w:uiPriority w:val="0"/>
    <w:rPr>
      <w:color w:val="44546A" w:themeColor="text2"/>
      <w:sz w:val="18"/>
      <w:szCs w:val="18"/>
      <w:vertAlign w:val="superscript"/>
    </w:rPr>
  </w:style>
  <w:style w:type="character" w:customStyle="1" w:styleId="25">
    <w:name w:val="Caption Char"/>
    <w:basedOn w:val="22"/>
    <w:link w:val="13"/>
    <w:uiPriority w:val="35"/>
    <w:rPr>
      <w:i/>
      <w:iCs/>
      <w:color w:val="44546A" w:themeColor="text2"/>
      <w:sz w:val="18"/>
      <w:szCs w:val="18"/>
    </w:rPr>
  </w:style>
  <w:style w:type="character" w:styleId="26">
    <w:name w:val="Hyperlink"/>
    <w:basedOn w:val="25"/>
    <w:uiPriority w:val="99"/>
    <w:rPr>
      <w:color w:val="FE3F3F" w:themeColor="accent1"/>
      <w:sz w:val="18"/>
      <w:szCs w:val="18"/>
    </w:rPr>
  </w:style>
  <w:style w:type="character" w:styleId="27">
    <w:name w:val="Strong"/>
    <w:basedOn w:val="22"/>
    <w:qFormat/>
    <w:uiPriority w:val="22"/>
    <w:rPr>
      <w:b/>
      <w:bCs/>
      <w:color w:val="000000" w:themeColor="text1"/>
    </w:rPr>
  </w:style>
  <w:style w:type="table" w:styleId="29">
    <w:name w:val="Table Grid"/>
    <w:basedOn w:val="28"/>
    <w:uiPriority w:val="39"/>
    <w:pPr>
      <w:spacing w:after="0" w:line="240" w:lineRule="auto"/>
    </w:pPr>
    <w:rPr>
      <w:rFonts w:eastAsia="Arial"/>
      <w:lang w:val="ro-RO"/>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0">
    <w:name w:val="First Paragraph"/>
    <w:basedOn w:val="12"/>
    <w:next w:val="12"/>
    <w:uiPriority w:val="0"/>
  </w:style>
  <w:style w:type="paragraph" w:customStyle="1" w:styleId="31">
    <w:name w:val="Compact"/>
    <w:basedOn w:val="12"/>
    <w:uiPriority w:val="0"/>
    <w:pPr>
      <w:spacing w:before="36" w:after="36"/>
      <w:jc w:val="left"/>
    </w:pPr>
  </w:style>
  <w:style w:type="paragraph" w:customStyle="1" w:styleId="32">
    <w:name w:val="Author"/>
    <w:next w:val="12"/>
    <w:uiPriority w:val="0"/>
    <w:pPr>
      <w:keepNext/>
      <w:keepLines/>
      <w:spacing w:after="160" w:line="360" w:lineRule="auto"/>
      <w:jc w:val="center"/>
    </w:pPr>
    <w:rPr>
      <w:rFonts w:asciiTheme="minorHAnsi" w:hAnsiTheme="minorHAnsi" w:eastAsiaTheme="minorEastAsia" w:cstheme="minorBidi"/>
      <w:sz w:val="22"/>
      <w:szCs w:val="22"/>
      <w:lang w:val="en-US" w:eastAsia="en-US" w:bidi="ar-SA"/>
    </w:rPr>
  </w:style>
  <w:style w:type="paragraph" w:customStyle="1" w:styleId="33">
    <w:name w:val="Abstract"/>
    <w:basedOn w:val="1"/>
    <w:next w:val="12"/>
    <w:uiPriority w:val="0"/>
    <w:pPr>
      <w:keepNext/>
      <w:keepLines/>
      <w:spacing w:before="300" w:after="300"/>
    </w:pPr>
    <w:rPr>
      <w:sz w:val="20"/>
      <w:szCs w:val="20"/>
    </w:rPr>
  </w:style>
  <w:style w:type="paragraph" w:customStyle="1" w:styleId="34">
    <w:name w:val="Bibliography"/>
    <w:basedOn w:val="1"/>
    <w:uiPriority w:val="0"/>
  </w:style>
  <w:style w:type="paragraph" w:customStyle="1" w:styleId="35">
    <w:name w:val="Definition Term"/>
    <w:basedOn w:val="1"/>
    <w:next w:val="36"/>
    <w:uiPriority w:val="0"/>
    <w:pPr>
      <w:keepNext/>
      <w:keepLines/>
      <w:spacing w:after="0"/>
    </w:pPr>
    <w:rPr>
      <w:b/>
    </w:rPr>
  </w:style>
  <w:style w:type="paragraph" w:customStyle="1" w:styleId="36">
    <w:name w:val="Definition"/>
    <w:basedOn w:val="1"/>
    <w:uiPriority w:val="0"/>
  </w:style>
  <w:style w:type="paragraph" w:customStyle="1" w:styleId="37">
    <w:name w:val="Table Caption"/>
    <w:basedOn w:val="13"/>
    <w:uiPriority w:val="0"/>
    <w:pPr>
      <w:keepNext/>
      <w:spacing w:line="360" w:lineRule="auto"/>
      <w:jc w:val="left"/>
    </w:pPr>
    <w:rPr>
      <w:sz w:val="22"/>
    </w:rPr>
  </w:style>
  <w:style w:type="paragraph" w:customStyle="1" w:styleId="38">
    <w:name w:val="Image Caption"/>
    <w:basedOn w:val="13"/>
    <w:uiPriority w:val="0"/>
    <w:pPr>
      <w:spacing w:line="360" w:lineRule="auto"/>
    </w:pPr>
    <w:rPr>
      <w:sz w:val="22"/>
    </w:rPr>
  </w:style>
  <w:style w:type="paragraph" w:customStyle="1" w:styleId="39">
    <w:name w:val="Figure"/>
    <w:basedOn w:val="1"/>
    <w:uiPriority w:val="0"/>
  </w:style>
  <w:style w:type="paragraph" w:customStyle="1" w:styleId="40">
    <w:name w:val="Figure with Caption"/>
    <w:basedOn w:val="39"/>
    <w:uiPriority w:val="0"/>
    <w:pPr>
      <w:keepNext/>
    </w:pPr>
  </w:style>
  <w:style w:type="character" w:customStyle="1" w:styleId="41">
    <w:name w:val="Verbatim Char"/>
    <w:basedOn w:val="25"/>
    <w:link w:val="42"/>
    <w:uiPriority w:val="0"/>
    <w:rPr>
      <w:rFonts w:ascii="Consolas" w:hAnsi="Consolas"/>
      <w:color w:val="44546A" w:themeColor="text2"/>
      <w:sz w:val="22"/>
      <w:szCs w:val="18"/>
    </w:rPr>
  </w:style>
  <w:style w:type="paragraph" w:customStyle="1" w:styleId="42">
    <w:name w:val="Source Code"/>
    <w:basedOn w:val="1"/>
    <w:link w:val="41"/>
    <w:uiPriority w:val="0"/>
    <w:pPr>
      <w:shd w:val="clear" w:color="auto" w:fill="F8F8F8"/>
      <w:wordWrap w:val="0"/>
    </w:pPr>
  </w:style>
  <w:style w:type="paragraph" w:customStyle="1" w:styleId="43">
    <w:name w:val="TOC Heading"/>
    <w:basedOn w:val="2"/>
    <w:next w:val="1"/>
    <w:unhideWhenUsed/>
    <w:qFormat/>
    <w:uiPriority w:val="39"/>
    <w:pPr>
      <w:outlineLvl w:val="9"/>
    </w:pPr>
  </w:style>
  <w:style w:type="character" w:customStyle="1" w:styleId="44">
    <w:name w:val="KeywordTok"/>
    <w:basedOn w:val="41"/>
    <w:uiPriority w:val="0"/>
    <w:rPr>
      <w:rFonts w:ascii="Consolas" w:hAnsi="Consolas"/>
      <w:b/>
      <w:color w:val="204A87"/>
      <w:sz w:val="22"/>
      <w:szCs w:val="18"/>
      <w:shd w:val="clear" w:color="auto" w:fill="F8F8F8"/>
    </w:rPr>
  </w:style>
  <w:style w:type="character" w:customStyle="1" w:styleId="45">
    <w:name w:val="DataTypeTok"/>
    <w:basedOn w:val="41"/>
    <w:uiPriority w:val="0"/>
    <w:rPr>
      <w:rFonts w:ascii="Consolas" w:hAnsi="Consolas"/>
      <w:color w:val="204A87"/>
      <w:sz w:val="22"/>
      <w:szCs w:val="18"/>
      <w:shd w:val="clear" w:color="auto" w:fill="F8F8F8"/>
    </w:rPr>
  </w:style>
  <w:style w:type="character" w:customStyle="1" w:styleId="46">
    <w:name w:val="DecValTok"/>
    <w:basedOn w:val="41"/>
    <w:uiPriority w:val="0"/>
    <w:rPr>
      <w:rFonts w:ascii="Consolas" w:hAnsi="Consolas"/>
      <w:color w:val="0000CF"/>
      <w:sz w:val="22"/>
      <w:szCs w:val="18"/>
      <w:shd w:val="clear" w:color="auto" w:fill="F8F8F8"/>
    </w:rPr>
  </w:style>
  <w:style w:type="character" w:customStyle="1" w:styleId="47">
    <w:name w:val="BaseNTok"/>
    <w:basedOn w:val="41"/>
    <w:uiPriority w:val="0"/>
    <w:rPr>
      <w:rFonts w:ascii="Consolas" w:hAnsi="Consolas"/>
      <w:color w:val="0000CF"/>
      <w:sz w:val="22"/>
      <w:szCs w:val="18"/>
      <w:shd w:val="clear" w:color="auto" w:fill="F8F8F8"/>
    </w:rPr>
  </w:style>
  <w:style w:type="character" w:customStyle="1" w:styleId="48">
    <w:name w:val="FloatTok"/>
    <w:basedOn w:val="41"/>
    <w:uiPriority w:val="0"/>
    <w:rPr>
      <w:rFonts w:ascii="Consolas" w:hAnsi="Consolas"/>
      <w:color w:val="0000CF"/>
      <w:sz w:val="22"/>
      <w:szCs w:val="18"/>
      <w:shd w:val="clear" w:color="auto" w:fill="F8F8F8"/>
    </w:rPr>
  </w:style>
  <w:style w:type="character" w:customStyle="1" w:styleId="49">
    <w:name w:val="ConstantTok"/>
    <w:basedOn w:val="41"/>
    <w:uiPriority w:val="0"/>
    <w:rPr>
      <w:rFonts w:ascii="Consolas" w:hAnsi="Consolas"/>
      <w:color w:val="000000"/>
      <w:sz w:val="22"/>
      <w:szCs w:val="18"/>
      <w:shd w:val="clear" w:color="auto" w:fill="F8F8F8"/>
    </w:rPr>
  </w:style>
  <w:style w:type="character" w:customStyle="1" w:styleId="50">
    <w:name w:val="CharTok"/>
    <w:basedOn w:val="41"/>
    <w:uiPriority w:val="0"/>
    <w:rPr>
      <w:rFonts w:ascii="Consolas" w:hAnsi="Consolas"/>
      <w:color w:val="4E9A06"/>
      <w:sz w:val="22"/>
      <w:szCs w:val="18"/>
      <w:shd w:val="clear" w:color="auto" w:fill="F8F8F8"/>
    </w:rPr>
  </w:style>
  <w:style w:type="character" w:customStyle="1" w:styleId="51">
    <w:name w:val="SpecialCharTok"/>
    <w:basedOn w:val="41"/>
    <w:uiPriority w:val="0"/>
    <w:rPr>
      <w:rFonts w:ascii="Consolas" w:hAnsi="Consolas"/>
      <w:color w:val="000000"/>
      <w:sz w:val="22"/>
      <w:szCs w:val="18"/>
      <w:shd w:val="clear" w:color="auto" w:fill="F8F8F8"/>
    </w:rPr>
  </w:style>
  <w:style w:type="character" w:customStyle="1" w:styleId="52">
    <w:name w:val="StringTok"/>
    <w:basedOn w:val="41"/>
    <w:uiPriority w:val="0"/>
    <w:rPr>
      <w:rFonts w:ascii="Consolas" w:hAnsi="Consolas"/>
      <w:color w:val="4E9A06"/>
      <w:sz w:val="22"/>
      <w:szCs w:val="18"/>
      <w:shd w:val="clear" w:color="auto" w:fill="F8F8F8"/>
    </w:rPr>
  </w:style>
  <w:style w:type="character" w:customStyle="1" w:styleId="53">
    <w:name w:val="VerbatimStringTok"/>
    <w:basedOn w:val="41"/>
    <w:uiPriority w:val="0"/>
    <w:rPr>
      <w:rFonts w:ascii="Consolas" w:hAnsi="Consolas"/>
      <w:color w:val="4E9A06"/>
      <w:sz w:val="22"/>
      <w:szCs w:val="18"/>
      <w:shd w:val="clear" w:color="auto" w:fill="F8F8F8"/>
    </w:rPr>
  </w:style>
  <w:style w:type="character" w:customStyle="1" w:styleId="54">
    <w:name w:val="SpecialStringTok"/>
    <w:basedOn w:val="41"/>
    <w:uiPriority w:val="0"/>
    <w:rPr>
      <w:rFonts w:ascii="Consolas" w:hAnsi="Consolas"/>
      <w:color w:val="4E9A06"/>
      <w:sz w:val="22"/>
      <w:szCs w:val="18"/>
      <w:shd w:val="clear" w:color="auto" w:fill="F8F8F8"/>
    </w:rPr>
  </w:style>
  <w:style w:type="character" w:customStyle="1" w:styleId="55">
    <w:name w:val="ImportTok"/>
    <w:basedOn w:val="41"/>
    <w:uiPriority w:val="0"/>
    <w:rPr>
      <w:rFonts w:ascii="Consolas" w:hAnsi="Consolas"/>
      <w:color w:val="44546A" w:themeColor="text2"/>
      <w:sz w:val="22"/>
      <w:szCs w:val="18"/>
      <w:shd w:val="clear" w:color="auto" w:fill="F8F8F8"/>
    </w:rPr>
  </w:style>
  <w:style w:type="character" w:customStyle="1" w:styleId="56">
    <w:name w:val="CommentTok"/>
    <w:basedOn w:val="41"/>
    <w:uiPriority w:val="0"/>
    <w:rPr>
      <w:rFonts w:ascii="Consolas" w:hAnsi="Consolas"/>
      <w:i w:val="0"/>
      <w:color w:val="8F5902"/>
      <w:sz w:val="22"/>
      <w:szCs w:val="18"/>
      <w:shd w:val="clear" w:color="auto" w:fill="F8F8F8"/>
    </w:rPr>
  </w:style>
  <w:style w:type="character" w:customStyle="1" w:styleId="57">
    <w:name w:val="DocumentationTok"/>
    <w:basedOn w:val="41"/>
    <w:uiPriority w:val="0"/>
    <w:rPr>
      <w:rFonts w:ascii="Consolas" w:hAnsi="Consolas"/>
      <w:b/>
      <w:i w:val="0"/>
      <w:color w:val="8F5902"/>
      <w:sz w:val="22"/>
      <w:szCs w:val="18"/>
      <w:shd w:val="clear" w:color="auto" w:fill="F8F8F8"/>
    </w:rPr>
  </w:style>
  <w:style w:type="character" w:customStyle="1" w:styleId="58">
    <w:name w:val="AnnotationTok"/>
    <w:basedOn w:val="41"/>
    <w:uiPriority w:val="0"/>
    <w:rPr>
      <w:rFonts w:ascii="Consolas" w:hAnsi="Consolas"/>
      <w:b/>
      <w:i w:val="0"/>
      <w:color w:val="8F5902"/>
      <w:sz w:val="22"/>
      <w:szCs w:val="18"/>
      <w:shd w:val="clear" w:color="auto" w:fill="F8F8F8"/>
    </w:rPr>
  </w:style>
  <w:style w:type="character" w:customStyle="1" w:styleId="59">
    <w:name w:val="CommentVarTok"/>
    <w:basedOn w:val="41"/>
    <w:uiPriority w:val="0"/>
    <w:rPr>
      <w:rFonts w:ascii="Consolas" w:hAnsi="Consolas"/>
      <w:b/>
      <w:i w:val="0"/>
      <w:color w:val="8F5902"/>
      <w:sz w:val="22"/>
      <w:szCs w:val="18"/>
      <w:shd w:val="clear" w:color="auto" w:fill="F8F8F8"/>
    </w:rPr>
  </w:style>
  <w:style w:type="character" w:customStyle="1" w:styleId="60">
    <w:name w:val="OtherTok"/>
    <w:basedOn w:val="41"/>
    <w:uiPriority w:val="0"/>
    <w:rPr>
      <w:rFonts w:ascii="Consolas" w:hAnsi="Consolas"/>
      <w:color w:val="8F5902"/>
      <w:sz w:val="22"/>
      <w:szCs w:val="18"/>
      <w:shd w:val="clear" w:color="auto" w:fill="F8F8F8"/>
    </w:rPr>
  </w:style>
  <w:style w:type="character" w:customStyle="1" w:styleId="61">
    <w:name w:val="FunctionTok"/>
    <w:basedOn w:val="41"/>
    <w:uiPriority w:val="0"/>
    <w:rPr>
      <w:rFonts w:ascii="Consolas" w:hAnsi="Consolas"/>
      <w:color w:val="000000"/>
      <w:sz w:val="22"/>
      <w:szCs w:val="18"/>
      <w:shd w:val="clear" w:color="auto" w:fill="F8F8F8"/>
    </w:rPr>
  </w:style>
  <w:style w:type="character" w:customStyle="1" w:styleId="62">
    <w:name w:val="VariableTok"/>
    <w:basedOn w:val="41"/>
    <w:uiPriority w:val="0"/>
    <w:rPr>
      <w:rFonts w:ascii="Consolas" w:hAnsi="Consolas"/>
      <w:color w:val="000000"/>
      <w:sz w:val="22"/>
      <w:szCs w:val="18"/>
      <w:shd w:val="clear" w:color="auto" w:fill="F8F8F8"/>
    </w:rPr>
  </w:style>
  <w:style w:type="character" w:customStyle="1" w:styleId="63">
    <w:name w:val="ControlFlowTok"/>
    <w:basedOn w:val="41"/>
    <w:uiPriority w:val="0"/>
    <w:rPr>
      <w:rFonts w:ascii="Consolas" w:hAnsi="Consolas"/>
      <w:b/>
      <w:color w:val="204A87"/>
      <w:sz w:val="22"/>
      <w:szCs w:val="18"/>
      <w:shd w:val="clear" w:color="auto" w:fill="F8F8F8"/>
    </w:rPr>
  </w:style>
  <w:style w:type="character" w:customStyle="1" w:styleId="64">
    <w:name w:val="OperatorTok"/>
    <w:basedOn w:val="41"/>
    <w:uiPriority w:val="0"/>
    <w:rPr>
      <w:rFonts w:ascii="Consolas" w:hAnsi="Consolas"/>
      <w:b/>
      <w:color w:val="CE5C00"/>
      <w:sz w:val="22"/>
      <w:szCs w:val="18"/>
      <w:shd w:val="clear" w:color="auto" w:fill="F8F8F8"/>
    </w:rPr>
  </w:style>
  <w:style w:type="character" w:customStyle="1" w:styleId="65">
    <w:name w:val="BuiltInTok"/>
    <w:basedOn w:val="41"/>
    <w:uiPriority w:val="0"/>
    <w:rPr>
      <w:rFonts w:ascii="Consolas" w:hAnsi="Consolas"/>
      <w:color w:val="44546A" w:themeColor="text2"/>
      <w:sz w:val="22"/>
      <w:szCs w:val="18"/>
      <w:shd w:val="clear" w:color="auto" w:fill="F8F8F8"/>
    </w:rPr>
  </w:style>
  <w:style w:type="character" w:customStyle="1" w:styleId="66">
    <w:name w:val="ExtensionTok"/>
    <w:basedOn w:val="41"/>
    <w:uiPriority w:val="0"/>
    <w:rPr>
      <w:rFonts w:ascii="Consolas" w:hAnsi="Consolas"/>
      <w:color w:val="44546A" w:themeColor="text2"/>
      <w:sz w:val="22"/>
      <w:szCs w:val="18"/>
      <w:shd w:val="clear" w:color="auto" w:fill="F8F8F8"/>
    </w:rPr>
  </w:style>
  <w:style w:type="character" w:customStyle="1" w:styleId="67">
    <w:name w:val="PreprocessorTok"/>
    <w:basedOn w:val="41"/>
    <w:uiPriority w:val="0"/>
    <w:rPr>
      <w:rFonts w:ascii="Consolas" w:hAnsi="Consolas"/>
      <w:i w:val="0"/>
      <w:color w:val="8F5902"/>
      <w:sz w:val="22"/>
      <w:szCs w:val="18"/>
      <w:shd w:val="clear" w:color="auto" w:fill="F8F8F8"/>
    </w:rPr>
  </w:style>
  <w:style w:type="character" w:customStyle="1" w:styleId="68">
    <w:name w:val="AttributeTok"/>
    <w:basedOn w:val="41"/>
    <w:uiPriority w:val="0"/>
    <w:rPr>
      <w:rFonts w:ascii="Consolas" w:hAnsi="Consolas"/>
      <w:color w:val="C4A000"/>
      <w:sz w:val="22"/>
      <w:szCs w:val="18"/>
      <w:shd w:val="clear" w:color="auto" w:fill="F8F8F8"/>
    </w:rPr>
  </w:style>
  <w:style w:type="character" w:customStyle="1" w:styleId="69">
    <w:name w:val="RegionMarkerTok"/>
    <w:basedOn w:val="41"/>
    <w:uiPriority w:val="0"/>
    <w:rPr>
      <w:rFonts w:ascii="Consolas" w:hAnsi="Consolas"/>
      <w:color w:val="44546A" w:themeColor="text2"/>
      <w:sz w:val="22"/>
      <w:szCs w:val="18"/>
      <w:shd w:val="clear" w:color="auto" w:fill="F8F8F8"/>
    </w:rPr>
  </w:style>
  <w:style w:type="character" w:customStyle="1" w:styleId="70">
    <w:name w:val="InformationTok"/>
    <w:basedOn w:val="41"/>
    <w:uiPriority w:val="0"/>
    <w:rPr>
      <w:rFonts w:ascii="Consolas" w:hAnsi="Consolas"/>
      <w:b/>
      <w:i w:val="0"/>
      <w:color w:val="8F5902"/>
      <w:sz w:val="22"/>
      <w:szCs w:val="18"/>
      <w:shd w:val="clear" w:color="auto" w:fill="F8F8F8"/>
    </w:rPr>
  </w:style>
  <w:style w:type="character" w:customStyle="1" w:styleId="71">
    <w:name w:val="WarningTok"/>
    <w:basedOn w:val="41"/>
    <w:uiPriority w:val="0"/>
    <w:rPr>
      <w:rFonts w:ascii="Consolas" w:hAnsi="Consolas"/>
      <w:b/>
      <w:i w:val="0"/>
      <w:color w:val="8F5902"/>
      <w:sz w:val="22"/>
      <w:szCs w:val="18"/>
      <w:shd w:val="clear" w:color="auto" w:fill="F8F8F8"/>
    </w:rPr>
  </w:style>
  <w:style w:type="character" w:customStyle="1" w:styleId="72">
    <w:name w:val="AlertTok"/>
    <w:basedOn w:val="41"/>
    <w:uiPriority w:val="0"/>
    <w:rPr>
      <w:rFonts w:ascii="Consolas" w:hAnsi="Consolas"/>
      <w:color w:val="EF2929"/>
      <w:sz w:val="22"/>
      <w:szCs w:val="18"/>
      <w:shd w:val="clear" w:color="auto" w:fill="F8F8F8"/>
    </w:rPr>
  </w:style>
  <w:style w:type="character" w:customStyle="1" w:styleId="73">
    <w:name w:val="ErrorTok"/>
    <w:basedOn w:val="41"/>
    <w:uiPriority w:val="0"/>
    <w:rPr>
      <w:rFonts w:ascii="Consolas" w:hAnsi="Consolas"/>
      <w:b/>
      <w:color w:val="A40000"/>
      <w:sz w:val="22"/>
      <w:szCs w:val="18"/>
      <w:shd w:val="clear" w:color="auto" w:fill="F8F8F8"/>
    </w:rPr>
  </w:style>
  <w:style w:type="character" w:customStyle="1" w:styleId="74">
    <w:name w:val="NormalTok"/>
    <w:basedOn w:val="41"/>
    <w:uiPriority w:val="0"/>
    <w:rPr>
      <w:rFonts w:ascii="Consolas" w:hAnsi="Consolas"/>
      <w:color w:val="44546A" w:themeColor="text2"/>
      <w:sz w:val="22"/>
      <w:szCs w:val="18"/>
      <w:shd w:val="clear" w:color="auto" w:fill="F8F8F8"/>
    </w:rPr>
  </w:style>
  <w:style w:type="character" w:customStyle="1" w:styleId="75">
    <w:name w:val="Heading 1 Char"/>
    <w:basedOn w:val="22"/>
    <w:link w:val="2"/>
    <w:uiPriority w:val="9"/>
    <w:rPr>
      <w:rFonts w:asciiTheme="majorHAnsi" w:hAnsiTheme="majorHAnsi" w:eastAsiaTheme="majorEastAsia" w:cstheme="majorBidi"/>
      <w:b/>
      <w:bCs/>
      <w:smallCaps/>
      <w:color w:val="000000" w:themeColor="text1"/>
      <w:sz w:val="36"/>
      <w:szCs w:val="36"/>
    </w:rPr>
  </w:style>
  <w:style w:type="character" w:customStyle="1" w:styleId="76">
    <w:name w:val="Heading 2 Char"/>
    <w:basedOn w:val="22"/>
    <w:link w:val="3"/>
    <w:uiPriority w:val="9"/>
    <w:rPr>
      <w:rFonts w:ascii="Arial" w:hAnsi="Arial" w:eastAsia="MS Gothic" w:cs="Times New Roman"/>
      <w:b/>
      <w:bCs/>
      <w:smallCaps/>
      <w:color w:val="000000"/>
      <w:sz w:val="28"/>
      <w:szCs w:val="28"/>
      <w:lang w:val="ro-RO"/>
    </w:rPr>
  </w:style>
  <w:style w:type="character" w:customStyle="1" w:styleId="77">
    <w:name w:val="Heading 3 Char"/>
    <w:basedOn w:val="22"/>
    <w:link w:val="4"/>
    <w:uiPriority w:val="9"/>
    <w:rPr>
      <w:rFonts w:ascii="Arial" w:hAnsi="Arial" w:eastAsia="MS Gothic" w:cs="Times New Roman"/>
      <w:b/>
      <w:bCs/>
      <w:color w:val="000000"/>
      <w:lang w:val="ro-RO"/>
    </w:rPr>
  </w:style>
  <w:style w:type="character" w:customStyle="1" w:styleId="78">
    <w:name w:val="Heading 4 Char"/>
    <w:basedOn w:val="22"/>
    <w:link w:val="5"/>
    <w:uiPriority w:val="9"/>
    <w:rPr>
      <w:rFonts w:ascii="Arial" w:hAnsi="Arial" w:eastAsia="MS Gothic" w:cs="Times New Roman"/>
      <w:b/>
      <w:bCs/>
      <w:i/>
      <w:iCs/>
      <w:color w:val="000000"/>
      <w:lang w:val="ro-RO"/>
    </w:rPr>
  </w:style>
  <w:style w:type="character" w:customStyle="1" w:styleId="79">
    <w:name w:val="Heading 5 Char"/>
    <w:basedOn w:val="22"/>
    <w:link w:val="6"/>
    <w:uiPriority w:val="9"/>
    <w:rPr>
      <w:rFonts w:asciiTheme="majorHAnsi" w:hAnsiTheme="majorHAnsi" w:eastAsiaTheme="majorEastAsia" w:cstheme="majorBidi"/>
      <w:color w:val="323E4F" w:themeColor="text2" w:themeShade="BF"/>
    </w:rPr>
  </w:style>
  <w:style w:type="character" w:customStyle="1" w:styleId="80">
    <w:name w:val="Heading 6 Char"/>
    <w:basedOn w:val="22"/>
    <w:link w:val="7"/>
    <w:uiPriority w:val="9"/>
    <w:rPr>
      <w:rFonts w:asciiTheme="majorHAnsi" w:hAnsiTheme="majorHAnsi" w:eastAsiaTheme="majorEastAsia" w:cstheme="majorBidi"/>
      <w:i/>
      <w:iCs/>
      <w:color w:val="323E4F" w:themeColor="text2" w:themeShade="BF"/>
    </w:rPr>
  </w:style>
  <w:style w:type="character" w:customStyle="1" w:styleId="81">
    <w:name w:val="Heading 7 Char"/>
    <w:basedOn w:val="22"/>
    <w:link w:val="8"/>
    <w:uiPriority w:val="9"/>
    <w:rPr>
      <w:rFonts w:asciiTheme="majorHAnsi" w:hAnsiTheme="majorHAnsi" w:eastAsiaTheme="majorEastAsia" w:cstheme="majorBidi"/>
      <w:i/>
      <w:iCs/>
      <w:color w:val="3F3F3F" w:themeColor="text1" w:themeTint="BF"/>
    </w:rPr>
  </w:style>
  <w:style w:type="character" w:customStyle="1" w:styleId="82">
    <w:name w:val="Heading 8 Char"/>
    <w:basedOn w:val="22"/>
    <w:link w:val="9"/>
    <w:uiPriority w:val="9"/>
    <w:rPr>
      <w:rFonts w:asciiTheme="majorHAnsi" w:hAnsiTheme="majorHAnsi" w:eastAsiaTheme="majorEastAsia" w:cstheme="majorBidi"/>
      <w:color w:val="3F3F3F" w:themeColor="text1" w:themeTint="BF"/>
      <w:sz w:val="20"/>
      <w:szCs w:val="20"/>
    </w:rPr>
  </w:style>
  <w:style w:type="character" w:customStyle="1" w:styleId="83">
    <w:name w:val="Heading 9 Char"/>
    <w:basedOn w:val="22"/>
    <w:link w:val="10"/>
    <w:uiPriority w:val="9"/>
    <w:rPr>
      <w:rFonts w:asciiTheme="majorHAnsi" w:hAnsiTheme="majorHAnsi" w:eastAsiaTheme="majorEastAsia" w:cstheme="majorBidi"/>
      <w:i/>
      <w:iCs/>
      <w:color w:val="3F3F3F" w:themeColor="text1" w:themeTint="BF"/>
      <w:sz w:val="20"/>
      <w:szCs w:val="20"/>
    </w:rPr>
  </w:style>
  <w:style w:type="character" w:customStyle="1" w:styleId="84">
    <w:name w:val="Title Char"/>
    <w:basedOn w:val="22"/>
    <w:link w:val="19"/>
    <w:uiPriority w:val="10"/>
    <w:rPr>
      <w:rFonts w:asciiTheme="majorHAnsi" w:hAnsiTheme="majorHAnsi" w:eastAsiaTheme="majorEastAsia" w:cstheme="majorBidi"/>
      <w:color w:val="000000" w:themeColor="text1"/>
      <w:sz w:val="56"/>
      <w:szCs w:val="56"/>
    </w:rPr>
  </w:style>
  <w:style w:type="character" w:customStyle="1" w:styleId="85">
    <w:name w:val="Subtitle Char"/>
    <w:basedOn w:val="22"/>
    <w:link w:val="18"/>
    <w:uiPriority w:val="11"/>
    <w:rPr>
      <w:color w:val="595959" w:themeColor="text1" w:themeTint="A5"/>
      <w:spacing w:val="10"/>
    </w:rPr>
  </w:style>
  <w:style w:type="paragraph" w:styleId="86">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paragraph" w:styleId="87">
    <w:name w:val="Quote"/>
    <w:basedOn w:val="1"/>
    <w:next w:val="1"/>
    <w:link w:val="88"/>
    <w:qFormat/>
    <w:uiPriority w:val="29"/>
    <w:pPr>
      <w:spacing w:before="160"/>
      <w:ind w:left="720" w:right="720"/>
    </w:pPr>
    <w:rPr>
      <w:i/>
      <w:iCs/>
      <w:color w:val="000000" w:themeColor="text1"/>
    </w:rPr>
  </w:style>
  <w:style w:type="character" w:customStyle="1" w:styleId="88">
    <w:name w:val="Quote Char"/>
    <w:basedOn w:val="22"/>
    <w:link w:val="87"/>
    <w:uiPriority w:val="29"/>
    <w:rPr>
      <w:i/>
      <w:iCs/>
      <w:color w:val="000000" w:themeColor="text1"/>
    </w:rPr>
  </w:style>
  <w:style w:type="paragraph" w:styleId="89">
    <w:name w:val="Intense Quote"/>
    <w:basedOn w:val="1"/>
    <w:next w:val="1"/>
    <w:link w:val="90"/>
    <w:qFormat/>
    <w:uiPriority w:val="30"/>
    <w:pPr>
      <w:pBdr>
        <w:top w:val="single" w:color="F1F1F1" w:themeColor="background1" w:themeShade="F2" w:sz="24" w:space="1"/>
        <w:bottom w:val="single" w:color="F1F1F1" w:themeColor="background1" w:themeShade="F2" w:sz="24" w:space="1"/>
      </w:pBdr>
      <w:shd w:val="clear" w:color="auto" w:fill="F1F1F1" w:themeFill="background1" w:themeFillShade="F2"/>
      <w:spacing w:before="240" w:after="240"/>
      <w:ind w:left="936" w:right="936"/>
      <w:jc w:val="center"/>
    </w:pPr>
    <w:rPr>
      <w:color w:val="000000" w:themeColor="text1"/>
    </w:rPr>
  </w:style>
  <w:style w:type="character" w:customStyle="1" w:styleId="90">
    <w:name w:val="Intense Quote Char"/>
    <w:basedOn w:val="22"/>
    <w:link w:val="89"/>
    <w:uiPriority w:val="30"/>
    <w:rPr>
      <w:color w:val="000000" w:themeColor="text1"/>
      <w:shd w:val="clear" w:color="auto" w:fill="F1F1F1" w:themeFill="background1" w:themeFillShade="F2"/>
    </w:rPr>
  </w:style>
  <w:style w:type="character" w:customStyle="1" w:styleId="91">
    <w:name w:val="Subtle Emphasis"/>
    <w:basedOn w:val="22"/>
    <w:qFormat/>
    <w:uiPriority w:val="19"/>
    <w:rPr>
      <w:i/>
      <w:iCs/>
      <w:color w:val="3F3F3F" w:themeColor="text1" w:themeTint="BF"/>
    </w:rPr>
  </w:style>
  <w:style w:type="character" w:customStyle="1" w:styleId="92">
    <w:name w:val="Intense Emphasis"/>
    <w:basedOn w:val="22"/>
    <w:qFormat/>
    <w:uiPriority w:val="21"/>
    <w:rPr>
      <w:b/>
      <w:bCs/>
      <w:i/>
      <w:iCs/>
      <w:caps/>
    </w:rPr>
  </w:style>
  <w:style w:type="character" w:customStyle="1" w:styleId="93">
    <w:name w:val="Subtle Reference"/>
    <w:basedOn w:val="22"/>
    <w:qFormat/>
    <w:uiPriority w:val="31"/>
    <w:rPr>
      <w:smallCaps/>
      <w:color w:val="3F3F3F" w:themeColor="text1" w:themeTint="BF"/>
      <w:u w:val="single" w:color="7E7E7E" w:themeColor="text1" w:themeTint="80"/>
    </w:rPr>
  </w:style>
  <w:style w:type="character" w:customStyle="1" w:styleId="94">
    <w:name w:val="Intense Reference"/>
    <w:basedOn w:val="22"/>
    <w:qFormat/>
    <w:uiPriority w:val="32"/>
    <w:rPr>
      <w:b/>
      <w:bCs/>
      <w:smallCaps/>
      <w:u w:val="single"/>
    </w:rPr>
  </w:style>
  <w:style w:type="character" w:customStyle="1" w:styleId="95">
    <w:name w:val="Book Title"/>
    <w:basedOn w:val="22"/>
    <w:qFormat/>
    <w:uiPriority w:val="33"/>
    <w:rPr>
      <w:smallCaps/>
      <w:spacing w:val="5"/>
    </w:rPr>
  </w:style>
  <w:style w:type="character" w:customStyle="1" w:styleId="96">
    <w:name w:val="Body Text Char"/>
    <w:basedOn w:val="22"/>
    <w:link w:val="12"/>
    <w:uiPriority w:val="0"/>
  </w:style>
  <w:style w:type="character" w:customStyle="1" w:styleId="97">
    <w:name w:val="Header Char"/>
    <w:basedOn w:val="22"/>
    <w:link w:val="17"/>
    <w:uiPriority w:val="0"/>
  </w:style>
  <w:style w:type="character" w:customStyle="1" w:styleId="98">
    <w:name w:val="Footer Char"/>
    <w:basedOn w:val="22"/>
    <w:link w:val="15"/>
    <w:uiPriority w:val="99"/>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2.xml" /><Relationship Id="rId11" Type="http://schemas.openxmlformats.org/officeDocument/2006/relationships/footer" Target="footer1.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28" Target="media/rId28.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hyperlink" Id="rId75"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75" Target="https://www.R-project.org/" TargetMode="External" /></Relationships>
</file>

<file path=word/theme/theme1.xml><?xml version="1.0" encoding="utf-8"?>
<a:theme xmlns:a="http://schemas.openxmlformats.org/drawingml/2006/main" name="Office Theme">
  <a:themeElements>
    <a:clrScheme name="Custom 10">
      <a:dk1>
        <a:sysClr val="windowText" lastClr="000000"/>
      </a:dk1>
      <a:lt1>
        <a:sysClr val="window" lastClr="FFFFFF"/>
      </a:lt1>
      <a:dk2>
        <a:srgbClr val="44546A"/>
      </a:dk2>
      <a:lt2>
        <a:srgbClr val="E7E6E6"/>
      </a:lt2>
      <a:accent1>
        <a:srgbClr val="FE3F3F"/>
      </a:accent1>
      <a:accent2>
        <a:srgbClr val="17B3B7"/>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37</Pages>
  <Words>3637</Words>
  <Characters>20734</Characters>
  <Lines>172</Lines>
  <Paragraphs>48</Paragraphs>
  <TotalTime>3</TotalTime>
  <ScaleCrop>false</ScaleCrop>
  <LinksUpToDate>false</LinksUpToDate>
  <CharactersWithSpaces>24323</CharactersWithSpaces>
  <Application>WPS Office_11.1.0.8392_F1E327BC-269C-435d-A152-05C5408002CA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Graduation Thesis</dc:title>
  <dc:creator>Regine Besinger</dc:creator>
  <cp:keywords/>
  <dcterms:created xsi:type="dcterms:W3CDTF">2020-02-18T13:40:14Z</dcterms:created>
  <dcterms:modified xsi:type="dcterms:W3CDTF">2020-02-18T13:40:14Z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subtitle">
    <vt:lpwstr>Graduation Thesis</vt:lpwstr>
  </property>
</Properties>
</file>