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AGENTE LLM PARA ENGENHARIA DE REQUISITOS E ENGENHARIA DE PROMPT: EVIDÊNCIAS SOBRE A QUALIDADE DO CÓDIGO GERADO POR IA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Larissa Aparecida Matias; Nairo Alberto Rocha; Raphael Ferreira Amaral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0"/>
        </w:rPr>
        <w:t>Especialização em Processamento de Linguagem Natural - Universidade Federal de Goiás / AKCIT</w:t>
      </w:r>
    </w:p>
    <w:p>
      <w:pPr>
        <w:pStyle w:val="Heading1"/>
        <w:ind w:firstLine="0"/>
      </w:pPr>
      <w:r>
        <w:rPr>
          <w:rFonts w:ascii="Times New Roman" w:hAnsi="Times New Roman"/>
          <w:b/>
          <w:i w:val="0"/>
          <w:sz w:val="22"/>
        </w:rPr>
        <w:t>RESUMO</w:t>
      </w:r>
    </w:p>
    <w:p>
      <w:pPr>
        <w:spacing w:before="0" w:after="0" w:line="240" w:lineRule="auto"/>
        <w:ind w:firstLine="0"/>
      </w:pPr>
      <w:r>
        <w:rPr>
          <w:rFonts w:ascii="Times New Roman" w:hAnsi="Times New Roman"/>
          <w:b w:val="0"/>
          <w:i w:val="0"/>
          <w:sz w:val="22"/>
        </w:rPr>
        <w:t>A qualidade do código produzido por Inteligência Artificial Generativa depende da qualidade das especificações fornecidas ao modelo. Este estudo desenvolveu e avaliou um portfólio de quatro agentes baseados em modelos de linguagem de grande escala, especializados em concepção, análise e validação de requisitos e revisão de código. Adotou-se pesquisa aplicada de desenvolvimento experimental, com desenho controlado pareado em 22 tarefas de programação. Em cada tarefa, comparou-se uma condição controle, na qual o enunciado foi enviado diretamente ao gerador, e uma condição assistida, na qual um pipeline de agentes estruturou requisitos e explicitou lacunas de negócio antes da geração. Avaliaram-se correção funcional, captura de lacunas, qualidade estrutural e achados de revisão por severidade. Após correção de Holm-Bonferroni, seis das oito métricas apresentaram diferenças significativas favoráveis à condição assistida. A taxa de testes cegos aprovados aumentou de 0,627 para 0,966, e a captura de lacunas de negócio, de 0,453 para 0,921, ambas com efeito grande. A condição controle apresentou aproximadamente 7,2 vezes mais achados bloqueantes. Os resultados constituem evidência promissora de que a elicitação estruturada melhora a qualidade do código gerado. Contudo, a execução manual do protocolo, a utilização de uma geração por tarefa, a avaliação qualitativa por um único avaliador e problemas na validação das implementações de referência limitam a força das inferências.</w:t>
      </w:r>
    </w:p>
    <w:p>
      <w:pPr>
        <w:spacing w:before="0" w:after="120" w:line="240" w:lineRule="auto"/>
        <w:ind w:firstLine="0"/>
      </w:pPr>
      <w:r>
        <w:rPr>
          <w:rFonts w:ascii="Times New Roman" w:hAnsi="Times New Roman"/>
          <w:b/>
          <w:i w:val="0"/>
          <w:sz w:val="22"/>
        </w:rPr>
        <w:t>Palavras-chave: Modelos de Linguagem. Engenharia de Requisitos. Engenharia de Prompt. Geração de Código. Qualidade de Software.</w:t>
      </w:r>
    </w:p>
    <w:p>
      <w:pPr>
        <w:pStyle w:val="Heading1"/>
        <w:ind w:firstLine="0"/>
      </w:pPr>
      <w:r>
        <w:rPr>
          <w:rFonts w:ascii="Times New Roman" w:hAnsi="Times New Roman"/>
          <w:b/>
          <w:i w:val="0"/>
          <w:sz w:val="22"/>
        </w:rPr>
        <w:t>1 INTRODUÇÃO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Modelos de linguagem de grande escala ampliaram a capacidade de gerar código a partir de linguagem natural. Entretanto, programas sintaticamente corretos podem incorporar suposições indevidas quando requisitos, regras de negócio e critérios de aceitação estão incompletos. Nesse cenário, a Engenharia de Requisitos assume papel central: a descrição textual deixa de ser apenas documentação e passa a constituir entrada operacional para a síntese do software.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A literatura sobre geração de código concentra-se em benchmarks de problemas autocontidos e métricas como pass@k (CHEN et al., 2021). Há menor atenção empírica ao mecanismo que antecede a geração: a transformação de necessidades abstratas em especificações completas e verificáveis. Padrões de prompt e decomposição de tarefas podem orientar modelos em problemas complexos (WHITE et al., 2023; WEI et al., 2022), mas não substituem decisões de domínio que precisam ser elicitadas e aprovadas.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/>
          <w:b/>
          <w:i w:val="0"/>
          <w:sz w:val="22"/>
        </w:rPr>
        <w:t>2 PROBLEMA, HIPÓTESE E OBJETIVO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A pesquisa investigou como agentes baseados em LLM podem apoiar desenvolvedores na elaboração de requisitos, regras de negócio, critérios de aceitação e instruções técnicas eficazes para geração de software por IA, em comparação à especificação sem ferramentas especializadas. A hipótese previa qualidade funcional e estrutural superior, além de redução do tempo de refinamento e da taxa de rejeição.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O objetivo geral foi desenvolver e avaliar agentes LLM especializados em Engenharia de Requisitos e Engenharia de Prompt, mensurando sua contribuição pela qualidade do código produzido com e sem assistência. Especificamente, buscou-se projetar o pipeline, implementar os agentes, comparar as condições e analisar os resultados com métodos estatísticos pareados.</w:t>
      </w:r>
    </w:p>
    <w:p>
      <w:pPr>
        <w:pStyle w:val="Heading1"/>
        <w:ind w:firstLine="0"/>
      </w:pPr>
      <w:r>
        <w:rPr>
          <w:rFonts w:ascii="Times New Roman" w:hAnsi="Times New Roman"/>
          <w:b/>
          <w:i w:val="0"/>
          <w:sz w:val="22"/>
        </w:rPr>
        <w:t>3 MÉTODO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A pesquisa foi classificada como aplicada e de desenvolvimento experimental. A unidade experimental foi a tarefa de programação. O corpus continha 22 casos de uso (UC-01 a UC-22), cada um composto por enunciado com contrato sintático, gabarito com decisões pré-registradas, mapa de lacunas de negócio, testes visíveis, testes cegos e, em 21 casos, implementação de referência.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Na condição C1, o enunciado foi enviado diretamente ao gerador de código. Na condição C2, o mesmo enunciado foi processado pelo pipeline Working Backwards Designer, Working Backwards Analyst e Senior Functional Analyst Reviewer. O pipeline identificou lacunas, formulou perguntas bloqueantes e consultou o gabarito, simulando a interação com um responsável de negócio. A especificação resultante foi enviada ao mesmo gerador usado em C1. O Code Reviewer orientou a revisão cega por severidade.</w:t>
      </w:r>
    </w:p>
    <w:p>
      <w:pPr>
        <w:pStyle w:val="Heading1"/>
        <w:ind w:firstLine="0"/>
      </w:pPr>
      <w:r>
        <w:rPr>
          <w:rFonts w:ascii="Times New Roman" w:hAnsi="Times New Roman"/>
          <w:b/>
          <w:i w:val="0"/>
          <w:sz w:val="22"/>
        </w:rPr>
        <w:t>3.1 AGENTES DESENVOLVIDOS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O Working Backwards Designer transforma ideias abstratas em PR/FAQ e marca premissas que exigem aprovação. O Working Backwards Analyst atua como revisor crítico de valor e viabilidade, registrando gaps rastreáveis. O Senior Functional Analyst Reviewer verifica clareza, completude, consistência, verificabilidade e rastreabilidade de requisitos, além de critérios de aceitação em Gherkin. O Code Reviewer analisa correção, segurança, manutenibilidade, desempenho e experiência do desenvolvedor, classificando achados como CRÍTICO, ALTO, MÉDIO, BAIXO ou ELOGIO.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Os agentes empregam protocolos explícitos, identificadores estáveis e ferramentas somente de leitura. Sugestões não são incorporadas como fatos sem aprovação. A arquitetura foi fundamentada em referências de Engenharia de Requisitos e qualidade, incluindo ISO/IEC/IEEE 29148 e ISO/IEC 25010.</w:t>
      </w:r>
    </w:p>
    <w:p>
      <w:pPr>
        <w:pStyle w:val="Heading1"/>
        <w:ind w:firstLine="0"/>
      </w:pPr>
      <w:r>
        <w:rPr>
          <w:rFonts w:ascii="Times New Roman" w:hAnsi="Times New Roman"/>
          <w:b/>
          <w:i w:val="0"/>
          <w:sz w:val="22"/>
        </w:rPr>
        <w:t>3.2 MÉTRICAS E ANÁLISE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A qualidade funcional foi medida por pass@1, pass@5 estimado e taxa de testes cegos aprovados. A cobertura de negócio foi medida pela proporção de lacunas para as quais todos os testes associados passaram. A qualidade estrutural incluiu violações flake8 por 100 linhas, complexidade ciclomática, índice de manutenibilidade e linhas de código. A avaliação qualitativa contabilizou achados por severidade, considerando CRÍTICO e ALTO como bloqueantes.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As oito métricas foram submetidas ao teste de Wilcoxon pareado. O tamanho de efeito foi mensurado pelo delta de Cliff, e a correção de Holm-Bonferroni controlou comparações múltiplas em α = 0,05.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/>
          <w:b/>
          <w:i w:val="0"/>
          <w:sz w:val="22"/>
        </w:rPr>
        <w:t>4 RESULTADOS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Foram obtidos 22 pares completos. Após a correção de Holm-Bonferroni, seis das oito métricas apresentaram diferença significativa. A condição assistida venceu a condição controle em todas as tarefas quanto à taxa de testes cegos e à captura de lacunas de negócio.</w:t>
      </w:r>
    </w:p>
    <w:p>
      <w:pPr>
        <w:spacing w:before="0" w:after="40" w:line="240" w:lineRule="auto"/>
        <w:ind w:firstLine="0"/>
      </w:pPr>
      <w:r>
        <w:rPr>
          <w:rFonts w:ascii="Times New Roman" w:hAnsi="Times New Roman"/>
          <w:b/>
          <w:i w:val="0"/>
          <w:sz w:val="22"/>
        </w:rPr>
        <w:t>Tabela 1 - Comparação entre as condições C1 e C2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000000"/>
          <w:bottom w:val="single" w:sz="6" w:color="000000"/>
          <w:insideH w:val="single" w:sz="6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Métrica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 ajustado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δ de Cliff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pass@1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0,000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0,409</w:t>
            </w:r>
          </w:p>
        </w:tc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0,0117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+0,409 (médio)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Testes cegos aprovados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0,627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0,966</w:t>
            </w:r>
          </w:p>
        </w:tc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0,0003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+1,000 (grande)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Captura de lacunas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0,453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0,921</w:t>
            </w:r>
          </w:p>
        </w:tc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0,0003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+0,984 (grande)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flake8/100 LOC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1,812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1,344</w:t>
            </w:r>
          </w:p>
        </w:tc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0,1866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-0,275 (pequeno)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Complexidade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5,661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4,598</w:t>
            </w:r>
          </w:p>
        </w:tc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0,0042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-0,450 (médio)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Manutenibilidade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32,820</w:t>
            </w:r>
          </w:p>
        </w:tc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39,080</w:t>
            </w:r>
          </w:p>
        </w:tc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0,0021</w:t>
            </w:r>
          </w:p>
        </w:tc>
        <w:tc>
          <w:tcPr>
            <w:tcW w:type="dxa" w:w="2268"/>
            <w:vAlign w:val="top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+0,409 (médio)</w:t>
            </w:r>
          </w:p>
        </w:tc>
      </w:tr>
    </w:tbl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0"/>
        </w:rPr>
        <w:t>Fonte: elaboração própria (2026).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A revisão cega registrou, por amostra, médias de 6,82 achados bloqueantes em C1 e 0,95 em C2, razão aproximada de 7,2. O controle gerou código frequentemente executável e compacto, mas baseado em decisões de negócio ausentes ou incorretas. A condição assistida produziu código mais extenso, porém com regras explícitas, menor complexidade média e maior manutenibilidade. A densidade de violações PEP 8 não diferiu significativamente, indicando que formatação não foi o mecanismo principal da melhoria.</w:t>
      </w:r>
    </w:p>
    <w:p>
      <w:pPr>
        <w:pStyle w:val="Heading1"/>
        <w:ind w:firstLine="0"/>
      </w:pPr>
      <w:r>
        <w:rPr>
          <w:rFonts w:ascii="Times New Roman" w:hAnsi="Times New Roman"/>
          <w:b/>
          <w:i w:val="0"/>
          <w:sz w:val="22"/>
        </w:rPr>
        <w:t>5 DISCUSSÃO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Os achados apoiam a parcela da hipótese referente à qualidade funcional e, parcialmente, à qualidade estrutural. O efeito mais expressivo ocorreu na captura de lacunas, métrica diretamente relacionada ao mecanismo causal proposto: o pipeline formula perguntas sobre informações que o gerador precisaria presumir na condição controle. O aumento da manutenibilidade e a redução da complexidade sugerem que a explicitação das regras também influencia a organização interna do código.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A eficiência do processo não foi avaliada porque tempo, número de iterações e taxa de rejeição não foram instrumentados. Portanto, essa parcela da hipótese permanece em aberto. O pass@5 apresentado no estudo é uma estimativa teórica baseada em apenas uma geração real por tarefa e não deve ser interpretado como resultado observado de cinco execuções.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Há ainda ameaça crítica à validade do instrumento. As implementações de referência de UC-01 a UC-20 não passaram integralmente suas próprias suítes, UC-21 foi validado e UC-22 não possui referência. Assim, apenas uma de 21 referências avaliáveis foi formalmente validada. A comparação pareada permanece informativa porque as duas condições foram submetidas à mesma suíte, mas a correção e a satisfazibilidade integral do instrumento não estão demonstradas para a maior parte do corpus.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/>
          <w:b/>
          <w:i w:val="0"/>
          <w:sz w:val="22"/>
        </w:rPr>
        <w:t>5.1 LIMITAÇÕES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O ambiente experimental não permitiu executar de ponta a ponta os clientes de software implementados no Stage 3. O protocolo textual foi reproduzido manualmente ou por agentes de propósito geral, com registros auditáveis. Consequentemente, os resultados medem diretamente o método de elicitação, não o desempenho operacional do software-agente. A revisão qualitativa também foi conduzida por um único avaliador, sem aferição de concordância, e o corpus sintético limita a generalização para requisitos reais de organizações.</w:t>
      </w:r>
    </w:p>
    <w:p>
      <w:pPr>
        <w:pStyle w:val="Heading1"/>
        <w:ind w:firstLine="0"/>
      </w:pPr>
      <w:r>
        <w:rPr>
          <w:rFonts w:ascii="Times New Roman" w:hAnsi="Times New Roman"/>
          <w:b/>
          <w:i w:val="0"/>
          <w:sz w:val="22"/>
        </w:rPr>
        <w:t>6 CONCLUSÃO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O trabalho desenvolveu quatro agentes especializados e avaliou um método de elicitação estruturada em 22 tarefas pareadas. A condição assistida apresentou melhoria estatisticamente significativa em correção funcional, captura de lacunas, complexidade e manutenibilidade, além de redução expressiva de achados bloqueantes. A evidência obtida é consistente com a tese de que a qualidade das especificações influencia a qualidade do código gerado por IA.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A conclusão deve permanecer delimitada: os dados sustentam evidência promissora sobre o método textual em corpus sintético, mas não autorizam alegação definitiva sobre o software implementado, eficiência temporal ou generalização. Antes da defesa, recomenda-se validar as referências, executar uma amostra com o pipeline real e corrigir a inconsistência aritmética do Stage 4: uma de 21 referências avaliáveis corresponde a 4,8%, ou uma de 22 tarefas do corpus corresponde a 4,5%, e não a 0%.</w:t>
      </w:r>
    </w:p>
    <w:p>
      <w:pPr>
        <w:spacing w:before="0" w:after="0" w:line="276" w:lineRule="auto"/>
      </w:pPr>
      <w:r>
        <w:rPr>
          <w:rFonts w:ascii="Times New Roman" w:hAnsi="Times New Roman"/>
          <w:b w:val="0"/>
          <w:i w:val="0"/>
          <w:sz w:val="22"/>
        </w:rPr>
        <w:t>Como continuidade, propõe-se executar pelo menos cinco gerações reais por condição, obter segunda avaliação cega com cálculo de kappa, instrumentar tempo e iterações, incorporar requisitos organizacionais reais e desenvolver um módulo autônomo de otimização de prompts. Essas ações permitirão separar o efeito da elicitação, da formulação do prompt e da implementação operacional dos agentes.</w:t>
      </w:r>
    </w:p>
    <w:p>
      <w:pPr>
        <w:pStyle w:val="Heading1"/>
        <w:ind w:firstLine="0"/>
      </w:pPr>
      <w:r>
        <w:rPr>
          <w:rFonts w:ascii="Times New Roman" w:hAnsi="Times New Roman"/>
          <w:b/>
          <w:i w:val="0"/>
          <w:sz w:val="22"/>
        </w:rPr>
        <w:t>REFERÊNCIAS</w:t>
      </w:r>
    </w:p>
    <w:p>
      <w:pPr>
        <w:spacing w:before="0" w:after="40" w:line="240" w:lineRule="auto"/>
        <w:ind w:firstLine="0"/>
      </w:pPr>
      <w:r>
        <w:rPr>
          <w:rFonts w:ascii="Times New Roman" w:hAnsi="Times New Roman"/>
          <w:b w:val="0"/>
          <w:i w:val="0"/>
          <w:sz w:val="20"/>
        </w:rPr>
        <w:t>CHEN, M. et al. Evaluating large language models trained on code. arXiv:2107.03374, 2021.</w:t>
      </w:r>
    </w:p>
    <w:p>
      <w:pPr>
        <w:spacing w:before="0" w:after="40" w:line="240" w:lineRule="auto"/>
        <w:ind w:firstLine="0"/>
      </w:pPr>
      <w:r>
        <w:rPr>
          <w:rFonts w:ascii="Times New Roman" w:hAnsi="Times New Roman"/>
          <w:b w:val="0"/>
          <w:i w:val="0"/>
          <w:sz w:val="20"/>
        </w:rPr>
        <w:t>COOPER, R. G. Stage-gate systems: a new tool for managing new products. Business Horizons, v. 33, n. 3, p. 44-54, 1990.</w:t>
      </w:r>
    </w:p>
    <w:p>
      <w:pPr>
        <w:spacing w:before="0" w:after="40" w:line="240" w:lineRule="auto"/>
        <w:ind w:firstLine="0"/>
      </w:pPr>
      <w:r>
        <w:rPr>
          <w:rFonts w:ascii="Times New Roman" w:hAnsi="Times New Roman"/>
          <w:b w:val="0"/>
          <w:i w:val="0"/>
          <w:sz w:val="20"/>
        </w:rPr>
        <w:t>ISO; IEC. ISO/IEC 25010: Systems and software quality models. Geneva: ISO, 2023.</w:t>
      </w:r>
    </w:p>
    <w:p>
      <w:pPr>
        <w:spacing w:before="0" w:after="40" w:line="240" w:lineRule="auto"/>
        <w:ind w:firstLine="0"/>
      </w:pPr>
      <w:r>
        <w:rPr>
          <w:rFonts w:ascii="Times New Roman" w:hAnsi="Times New Roman"/>
          <w:b w:val="0"/>
          <w:i w:val="0"/>
          <w:sz w:val="20"/>
        </w:rPr>
        <w:t>ISO; IEC; IEEE. ISO/IEC/IEEE 29148: Systems and software engineering - Requirements engineering. Geneva: ISO, 2018.</w:t>
      </w:r>
    </w:p>
    <w:p>
      <w:pPr>
        <w:spacing w:before="0" w:after="40" w:line="240" w:lineRule="auto"/>
        <w:ind w:firstLine="0"/>
      </w:pPr>
      <w:r>
        <w:rPr>
          <w:rFonts w:ascii="Times New Roman" w:hAnsi="Times New Roman"/>
          <w:b w:val="0"/>
          <w:i w:val="0"/>
          <w:sz w:val="20"/>
        </w:rPr>
        <w:t>SOMMERVILLE, I.; SAWYER, P. Requirements engineering: a good practice guide. Chichester: Wiley, 1997.</w:t>
      </w:r>
    </w:p>
    <w:p>
      <w:pPr>
        <w:spacing w:before="0" w:after="40" w:line="240" w:lineRule="auto"/>
        <w:ind w:firstLine="0"/>
      </w:pPr>
      <w:r>
        <w:rPr>
          <w:rFonts w:ascii="Times New Roman" w:hAnsi="Times New Roman"/>
          <w:b w:val="0"/>
          <w:i w:val="0"/>
          <w:sz w:val="20"/>
        </w:rPr>
        <w:t>WEI, J. et al. Chain-of-thought prompting elicits reasoning in large language models. NeurIPS, 2022.</w:t>
      </w:r>
    </w:p>
    <w:p>
      <w:pPr>
        <w:spacing w:before="0" w:after="40" w:line="240" w:lineRule="auto"/>
        <w:ind w:firstLine="0"/>
      </w:pPr>
      <w:r>
        <w:rPr>
          <w:rFonts w:ascii="Times New Roman" w:hAnsi="Times New Roman"/>
          <w:b w:val="0"/>
          <w:i w:val="0"/>
          <w:sz w:val="20"/>
        </w:rPr>
        <w:t>WHITE, J. et al. A prompt pattern catalog to enhance prompt engineering with ChatGPT. arXiv:2302.11382, 2023.</w:t>
      </w:r>
    </w:p>
    <w:p>
      <w:pPr>
        <w:spacing w:before="0" w:after="40" w:line="240" w:lineRule="auto"/>
        <w:ind w:firstLine="0"/>
      </w:pPr>
      <w:r>
        <w:rPr>
          <w:rFonts w:ascii="Times New Roman" w:hAnsi="Times New Roman"/>
          <w:b w:val="0"/>
          <w:i w:val="0"/>
          <w:sz w:val="20"/>
        </w:rPr>
        <w:t>WIEGERS, K.; BEATTY, J. Software requirements. 3. ed. Redmond: Microsoft Press, 2013.</w:t>
      </w:r>
    </w:p>
    <w:sectPr w:rsidR="00FC693F" w:rsidRPr="0006063C" w:rsidSect="00034616">
      <w:headerReference w:type="default" r:id="rId9"/>
      <w:pgSz w:w="11906" w:h="16838"/>
      <w:pgMar w:top="1701" w:right="170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i w:val="0"/>
        <w:sz w:val="20"/>
      </w:rPr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  <w:ind w:firstLine="709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Expandido - Agente LLM para Engenharia de Requisitos</dc:title>
  <dc:subject>Pesquisa aplicada de desenvolvimento experimental</dc:subject>
  <dc:creator>Larissa Aparecida Matias; Nairo Alberto Rocha; Raphael Ferreira Amaral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