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AGENTES BASEADOS EM LARGE LANGUAGE MODELS PARA ENGENHARIA DE REQUISITOS: AVALIAÇÃO EXPERIMENTAL DO EFEITO DA ELICITAÇÃO ASSISTIDA SOBRE A QUALIDADE DO CÓDIGO GERADO POR IA GENERATIVA</w:t>
      </w:r>
    </w:p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Larissa Aparecida Matias; Nairo Alberto Rocha; Raphael Ferreira Amaral</w:t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Especialização em Processamento de Linguagem Natural — Programa de Formação e Capacitação do Centro de Competência EMBRAPII em Tecnologias Imersivas (AKCIT), Universidade Federal de Goiás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RESUMO</w:t>
      </w:r>
    </w:p>
    <w:p>
      <w:pPr>
        <w:spacing w:line="259" w:lineRule="auto" w:before="0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consolidação da Inteligência Artificial Generativa no desenvolvimento de software deslocou o gargalo produtivo da escrita de código para a especificação daquilo que a máquina deve escrever. Quando uma decisão de negócio não é declarada, o gerador não sinaliza a lacuna: preenche-a silenciosamente com uma suposição plausível, produzindo código que compila e ainda assim está errado. Este trabalho desenvolveu e avaliou um portfólio de quatro agentes baseados em Large Language Models — Working Backwards Designer, Working Backwards Analyst, Senior Functional Analyst Reviewer e Code Reviewer — que apoiam a elicitação, a estruturação e a validação de requisitos destinados à geração automatizada de código. A avaliação empregou experimento controlado de desenho pareado, com a tarefa de programação como unidade experimental, sobre corpus autoral de vinte e dois casos de uso nos quais as decisões de negócio foram deliberadamente omitidas do enunciado. Cada caso foi submetido a duas condições com o mesmo gerador: sem elicitação prévia e com elicitação pelo pipeline de agentes. Após correção de Holm-Bonferroni, seis das oito métricas apresentaram diferença estatisticamente significativa favorável à condição assistida. A taxa de captura de decisões de negócio omitidas passou de 0,453 para 0,921, com tamanho de efeito grande e superioridade em todas as tarefas, e a revisão cega de código registrou cerca de sete vezes mais achados bloqueantes na condição de controle. Conclui-se que a elicitação assistida por agentes eleva de forma consistente a fidelidade semântica do código gerado.</w:t>
      </w:r>
    </w:p>
    <w:p>
      <w:pPr>
        <w:spacing w:line="259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Palavras-chave: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Processamento de Linguagem Natural. Inteligência Artificial. Engenharia de Requisitos. Software. Automação.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line="259" w:lineRule="auto" w:before="0" w:after="8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The consolidation of Generative Artificial Intelligence in software development has shifted the productivity bottleneck from writing code to specifying what the machine should write. When a business decision is left undeclared, the generator does not flag the gap: it silently fills it with a plausible assumption, producing code that compiles and is nonetheless wrong. This work developed and evaluated a portfolio of four agents based on Large Language Models — Working Backwards Designer, Working Backwards Analyst, Senior Functional Analyst Reviewer and Code Reviewer — supporting the elicitation, structuring and validation of requirements intended for automated code generation. The evaluation used a controlled paired experiment, with the programming task as the experimental unit, over an authorial corpus of twenty-two use cases in which business decisions were deliberately omitted from the statement. Each case was submitted to two conditions using the same generator: without prior elicitation and with elicitation through the agent pipeline. After Holm-Bonferroni correction, six of the eight metrics showed a statistically significant difference favouring the assisted condition. The capture rate of omitted business decisions rose from 0.453 to 0.921, with a large effect size and superiority in every task, and blind code review recorded roughly seven times more blocking findings in the control condition. Agent-assisted elicitation is concluded to consistently increase the semantic fidelity of generated code.</w:t>
      </w:r>
    </w:p>
    <w:p>
      <w:pPr>
        <w:spacing w:line="259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/>
          <w:sz w:val="22"/>
        </w:rPr>
        <w:t>Keywords:</w:t>
      </w:r>
      <w:r>
        <w:rPr>
          <w:rFonts w:ascii="Times New Roman" w:hAnsi="Times New Roman" w:eastAsia="Times New Roman"/>
          <w:b w:val="0"/>
          <w:i/>
          <w:sz w:val="22"/>
        </w:rPr>
        <w:t xml:space="preserve"> Natural Language Processing. Artificial Intelligence. Requirements Engineering. Software. Automation.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 INTRODUÇÃO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Ferramentas de codificação assistida por Large Language Models (LLMs) tornaram-se parte da rotina da maioria dos desenvolvedores (GITHUB, 2023), deslocando o esforço humano da escrita de código para a definição precisa de requisitos, regras de negócio e critérios de aceitação. Nesse arranjo, a qualidade do artefato produzido depende diretamente da qualidade da especificação fornecida como entrada (BROWN et al., 2020; WHITE et al., 2023).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problema é agravado por uma assimetria pouco discutida: o gerador não sinaliza a lacuna, ele a preenche. Uma regra de arredondamento não declarada, uma precedência de descontos não especificada ou uma transição de estado não prevista não produzem erro de compilação — produzem defeito de negócio, cujo custo de correção cresce exponencialmente quanto mais tarde é detectado (BOEHM, 1981). A Engenharia de Requisitos oferece o instrumental para tratar esse problema (SOMMERVILLE; SAWYER, 1997; WIEGERS; BEATTY, 2013), mas a literatura carece de agentes especializados nesse apoio e, sobretudo, de evidência empírica controlada sobre quanto a elicitação estruturada melhora o código que a IA produz.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objetivo deste trabalho foi desenvolver e avaliar agentes baseados em LLM especializados em Engenharia de Requisitos, mensurados pela qualidade do código gerado a partir de especificações produzidas com e sem o auxílio dos agentes. A hipótese previa qualidade funcional e estrutural superior na condição assistida.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 MATERIAIS E MÉTODOS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Tecnologia desenvolvida.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Foram implementados quatro agentes sobre o modelo claude-sonnet-5, em Python 3.12 com o SDK da API Anthropic, licenciados sob Apache-2.0. Todos compartilham uma arquitetura de uso de ferramentas (agentic tool use), com o comportamento — persona, protocolo numerado, rubricas e formato de saída — definido em arquivo Markdown externo versionável, e o modelo declarado exclusivamente por manifesto. As análises são ancoradas em normas internacionais (ISO/IEC/IEEE 29148, ISO/IEC 25010, OWASP Top 10). O princípio de projeto central é uma regra de controle de alucinação: nenhum agente assume informação ausente como fato — toda omissão vira pergunta, e toda inferência é marcada e submetida a aprovação explícita.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Tabela 1 — Portfólio de agentes e momento de atuação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608"/>
        <w:gridCol w:w="3628"/>
      </w:tblGrid>
      <w:tr>
        <w:tc>
          <w:tcPr>
            <w:tcW w:type="dxa" w:w="2835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Agente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Momento do ciclo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Saída principal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Working Backwards Designer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Ideação e concepção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PR/FAQ canônico com premissas marcadas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Working Backwards Analyst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Gate de prontidão da proposta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Faróis por seção, lacunas rastreadas e veredito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Senior Functional Analyst Reviewer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Gate de prontidão dos requisitos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RF/RNF com IDs, critérios em Gherkin e veredito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Code Reviewer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Pós-implementação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Relatório de revisão ordenado por severidade</w:t>
            </w:r>
          </w:p>
        </w:tc>
      </w:tr>
    </w:tbl>
    <w:p>
      <w:pPr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Fonte: elaborada pelos autores (2026).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Desenho experimental.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Adotou-se experimento controlado pareado, com a tarefa de programação como unidade experimental, sobre corpus autoral de vinte e dois casos de uso (UC-01 a UC-22). Cada caso é um subsistema com seis a doze operações públicas, máquina de estados e taxonomia fechada de erros, cujo enunciado fixa apenas o contrato sintático — nomes, assinaturas e tipos —, ao passo que toda a semântica de negócio (arredondamento, precedência, tetos, transições legais) foi plantada como lacuna e pré-registrada em gabarito. A medição usa suíte cega de onze a sessenta e um testes por caso, jamais exposta ao gerador e executada em harness independente.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Na condição C1 (controle), o enunciado é enviado diretamente ao gerador. Na condição C2 (tratamento), o enunciado percorre o pipeline Designer → Analyst → Senior Functional Analyst Reviewer, que identifica as lacunas, formula perguntas bloqueantes e as resolve consultando o gabarito — que desempenha o papel de usuário de negócio —, produzindo especificação estruturada enviada ao mesmo gerador, mantido fixo em modelo e configuração. Avaliaram-se oito métricas: pass@1 e pass@5 (estimador de CHEN et al., 2021), taxa de testes cegos aprovados, taxa de captura de lacunas de negócio, violações de flake8 por cem linhas, complexidade ciclomática, índice de manutenibilidade e linhas de código. Cada métrica foi submetida ao teste de Wilcoxon pareado, com tamanho de efeito pelo delta de Cliff e correção de Holm-Bonferroni (α = 0,05). Complementarmente, os quarenta e quatro artefatos de código passaram por revisão cega à condição, classificada por severidade. Não houve participantes humanos como sujeitos de pesquisa nem coleta de dados pessoais, de modo que o estudo dispensa apreciação por Comitê de Ética em Pesquisa.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 RESULTADOS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Foram obtidos vinte e dois pares completos. Após a correção para múltiplas comparações, seis das oito métricas apresentaram diferença estatisticamente significativa favorável à condição assistida (Tabela 2).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Tabela 2 — Comparação pareada C1 × C2 (n = 22)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963"/>
        <w:gridCol w:w="963"/>
        <w:gridCol w:w="850"/>
        <w:gridCol w:w="1077"/>
        <w:gridCol w:w="2154"/>
      </w:tblGrid>
      <w:tr>
        <w:tc>
          <w:tcPr>
            <w:tcW w:type="dxa" w:w="3061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Métrica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C1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C2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C2 &gt; C1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 (Holm)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δ de Cliff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pass@1 e pass@5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0,000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0,409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0,0117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+0,409 (médio)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Taxa de testes cegos aprovados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0,627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0,966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0,0003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+1,000 (grande)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Taxa de captura de lacunas de negócio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0,453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0,921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0,0003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+0,984 (grande)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Violações flake8 / 100 linhas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1,812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1,344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0,1866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−0,275 (n. s.)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Complexidade ciclomática média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5,661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4,598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0,0042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−0,450 (médio)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Índice de manutenibilidade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32,820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39,080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0,0021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+0,409 (médio)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Linhas de código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209,909</w:t>
            </w:r>
          </w:p>
        </w:tc>
        <w:tc>
          <w:tcPr>
            <w:tcW w:type="dxa" w:w="96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253,727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19/22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0,0041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+0,347 (médio)</w:t>
            </w:r>
          </w:p>
        </w:tc>
      </w:tr>
    </w:tbl>
    <w:p>
      <w:pPr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Fonte: elaborada pelos autores (2026). n. s. = diferença não significativa.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Figura 1 — Comparação pareada das métricas primárias (n = 22)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8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Fonte: elaborada pelos autores (2026).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Os dois maiores efeitos são a taxa de testes cegos aprovados e a taxa de captura de lacunas de negócio, ambos com magnitude grande e superioridade da condição assistida em todas as vinte e duas tarefas. A revisão cega de código corrobora o achado: a condição de controle concentra em média 6,82 achados bloqueantes (crítico e alto) por amostra, contra 0,95 na condição assistida — razão de aproximadamente 7,2 vezes —, com inversão também na categoria de elogio (1,14 contra 3,14).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 DISCUSSÃO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hipótese foi confirmada em seus dois componentes mensuráveis: qualidade funcional (pass@k) e qualidade estrutural (índice de manutenibilidade), ambos com significância após correção. O terceiro componente — redução do tempo de refinamento iterativo — não foi avaliado neste ciclo, por ausência de instrumentação do laço de refinamento, e é registrado como lacuna, não como refutação.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resultado com maior valor explicativo é a taxa de captura de lacunas de negócio, pois observa diretamente o mecanismo causal proposto — a elicitação das decisões que o enunciado deixa em aberto — e não apenas seu efeito indireto sobre a aprovação de testes. Um padrão secundário reforça a leitura: a condição assistida produz simultaneamente mais linhas de código e menor complexidade ciclomática, perfil esperado de código que modela explicitamente o domínio em vez de concentrá-lo em condicionais aninhadas. A ausência de efeito nas violações de estilo indica que o ganho da elicitação se concentra na dimensão semântica, não na sintática — exatamente onde a teoria previa que estivesse.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Três limitações delimitam o alcance das conclusões: o pipeline foi executado por reprodução fiel do protocolo textual especificado, e não pelos artefatos de software exercitados de ponta a ponta, de modo que o experimento mede o efeito do método, não o do software tal como implementado; utilizou-se uma geração real por tarefa, sendo pass@5 estimativa teórica; e o corpus é sintético e autoral, o que limita a generalização.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 CONSIDERAÇÕES FINAIS</w:t>
      </w:r>
    </w:p>
    <w:p>
      <w:pPr>
        <w:spacing w:line="259" w:lineRule="auto" w:before="0" w:after="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Interpor entre a ideia e o gerador de código uma cadeia de agentes que se recusa a preencher lacunas e as converte em perguntas produz, de forma consistente e estatisticamente significativa, código semanticamente mais fiel ao negócio. A tecnologia mostrou-se viável: os artefatos são textuais, versionáveis, licenciados em código aberto e executáveis sem infraestrutura dedicada além do acesso ao modelo, a um custo de operação marginal frente ao retrabalho que evita. Como próximos passos, destacam-se a validação cruzada do corpus com o pipeline automatizado, a instrumentação do laço de refinamento iterativo, a ampliação do número de gerações reais por tarefa e a replicação sobre requisitos reais de organizações.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REFERÊNCIAS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BOEHM, B. W. </w:t>
      </w:r>
      <w:r>
        <w:rPr>
          <w:rFonts w:ascii="Times New Roman" w:hAnsi="Times New Roman" w:eastAsia="Times New Roman"/>
          <w:b/>
          <w:i w:val="0"/>
          <w:sz w:val="20"/>
        </w:rPr>
        <w:t>Software engineering economics</w:t>
      </w:r>
      <w:r>
        <w:rPr>
          <w:rFonts w:ascii="Times New Roman" w:hAnsi="Times New Roman" w:eastAsia="Times New Roman"/>
          <w:b w:val="0"/>
          <w:i w:val="0"/>
          <w:sz w:val="20"/>
        </w:rPr>
        <w:t>. Englewood Cliffs: Prentice-Hall, 1981.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BROWN, T. et al. Language models are few-shot learners. In: ADVANCES IN NEURAL INFORMATION PROCESSING SYSTEMS (NeurIPS), 33., 2020. </w:t>
      </w:r>
      <w:r>
        <w:rPr>
          <w:rFonts w:ascii="Times New Roman" w:hAnsi="Times New Roman" w:eastAsia="Times New Roman"/>
          <w:b/>
          <w:i w:val="0"/>
          <w:sz w:val="20"/>
        </w:rPr>
        <w:t>Proceedings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[…]. [S. l.]: Curran Associates, 2020.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CHEN, M. et al. Evaluating large language models trained on code. </w:t>
      </w:r>
      <w:r>
        <w:rPr>
          <w:rFonts w:ascii="Times New Roman" w:hAnsi="Times New Roman" w:eastAsia="Times New Roman"/>
          <w:b/>
          <w:i w:val="0"/>
          <w:sz w:val="20"/>
        </w:rPr>
        <w:t>arXiv preprint arXiv:2107.03374</w:t>
      </w:r>
      <w:r>
        <w:rPr>
          <w:rFonts w:ascii="Times New Roman" w:hAnsi="Times New Roman" w:eastAsia="Times New Roman"/>
          <w:b w:val="0"/>
          <w:i w:val="0"/>
          <w:sz w:val="20"/>
        </w:rPr>
        <w:t>, 2021.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GITHUB. </w:t>
      </w:r>
      <w:r>
        <w:rPr>
          <w:rFonts w:ascii="Times New Roman" w:hAnsi="Times New Roman" w:eastAsia="Times New Roman"/>
          <w:b/>
          <w:i w:val="0"/>
          <w:sz w:val="20"/>
        </w:rPr>
        <w:t>Survey reveals AI’s impact on the developer experience</w:t>
      </w:r>
      <w:r>
        <w:rPr>
          <w:rFonts w:ascii="Times New Roman" w:hAnsi="Times New Roman" w:eastAsia="Times New Roman"/>
          <w:b w:val="0"/>
          <w:i w:val="0"/>
          <w:sz w:val="20"/>
        </w:rPr>
        <w:t>. GitHub Blog, [s. l.], 2023. Disponível em: https://github.blog/news-insights/research/. Acesso em: 23 jun. 2026.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SOMMERVILLE, I.; SAWYER, P. </w:t>
      </w:r>
      <w:r>
        <w:rPr>
          <w:rFonts w:ascii="Times New Roman" w:hAnsi="Times New Roman" w:eastAsia="Times New Roman"/>
          <w:b/>
          <w:i w:val="0"/>
          <w:sz w:val="20"/>
        </w:rPr>
        <w:t>Requirements engineering</w:t>
      </w:r>
      <w:r>
        <w:rPr>
          <w:rFonts w:ascii="Times New Roman" w:hAnsi="Times New Roman" w:eastAsia="Times New Roman"/>
          <w:b w:val="0"/>
          <w:i w:val="0"/>
          <w:sz w:val="20"/>
        </w:rPr>
        <w:t>: a good practice guide. Chichester: John Wiley &amp; Sons, 1997.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WHITE, J. et al. A prompt pattern catalog to enhance prompt engineering with ChatGPT. </w:t>
      </w:r>
      <w:r>
        <w:rPr>
          <w:rFonts w:ascii="Times New Roman" w:hAnsi="Times New Roman" w:eastAsia="Times New Roman"/>
          <w:b/>
          <w:i w:val="0"/>
          <w:sz w:val="20"/>
        </w:rPr>
        <w:t>arXiv preprint arXiv:2302.11382</w:t>
      </w:r>
      <w:r>
        <w:rPr>
          <w:rFonts w:ascii="Times New Roman" w:hAnsi="Times New Roman" w:eastAsia="Times New Roman"/>
          <w:b w:val="0"/>
          <w:i w:val="0"/>
          <w:sz w:val="20"/>
        </w:rPr>
        <w:t>, 2023.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WIEGERS, K.; BEATTY, J. </w:t>
      </w:r>
      <w:r>
        <w:rPr>
          <w:rFonts w:ascii="Times New Roman" w:hAnsi="Times New Roman" w:eastAsia="Times New Roman"/>
          <w:b/>
          <w:i w:val="0"/>
          <w:sz w:val="20"/>
        </w:rPr>
        <w:t>Software requirements</w:t>
      </w:r>
      <w:r>
        <w:rPr>
          <w:rFonts w:ascii="Times New Roman" w:hAnsi="Times New Roman" w:eastAsia="Times New Roman"/>
          <w:b w:val="0"/>
          <w:i w:val="0"/>
          <w:sz w:val="20"/>
        </w:rPr>
        <w:t>. 3. ed. Redmond: Microsoft Press, 2013.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