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DE0E" w14:textId="31ADAC80" w:rsidR="007269BE" w:rsidRPr="007269BE" w:rsidRDefault="007269BE" w:rsidP="007269BE">
      <w:pPr>
        <w:pStyle w:val="NoSpacing"/>
        <w:jc w:val="center"/>
        <w:rPr>
          <w:rFonts w:cstheme="minorHAnsi"/>
          <w:b/>
          <w:bCs/>
          <w:sz w:val="28"/>
          <w:szCs w:val="28"/>
          <w:u w:val="single"/>
        </w:rPr>
      </w:pPr>
      <w:r w:rsidRPr="007269BE">
        <w:rPr>
          <w:rFonts w:cstheme="minorHAnsi"/>
          <w:b/>
          <w:bCs/>
          <w:sz w:val="28"/>
          <w:szCs w:val="28"/>
          <w:u w:val="single"/>
        </w:rPr>
        <w:t>CEU Travel Policy for Staff and Students</w:t>
      </w:r>
    </w:p>
    <w:p w14:paraId="6EBF7799" w14:textId="425C2543" w:rsidR="007269BE" w:rsidRDefault="007269BE" w:rsidP="0043427F">
      <w:pPr>
        <w:pStyle w:val="NoSpacing"/>
        <w:rPr>
          <w:rFonts w:cstheme="minorHAnsi"/>
          <w:b/>
          <w:bCs/>
        </w:rPr>
      </w:pPr>
    </w:p>
    <w:p w14:paraId="640E5EC5" w14:textId="53F91141" w:rsidR="007269BE" w:rsidRDefault="007269BE" w:rsidP="0043427F">
      <w:pPr>
        <w:pStyle w:val="NoSpacing"/>
        <w:rPr>
          <w:rFonts w:cstheme="minorHAnsi"/>
          <w:b/>
          <w:bCs/>
        </w:rPr>
      </w:pPr>
      <w:r>
        <w:rPr>
          <w:rFonts w:cstheme="minorHAnsi"/>
          <w:b/>
          <w:bCs/>
        </w:rPr>
        <w:t>Background</w:t>
      </w:r>
    </w:p>
    <w:p w14:paraId="0CF4ACD0" w14:textId="77777777" w:rsidR="007269BE" w:rsidRDefault="007269BE" w:rsidP="0043427F">
      <w:pPr>
        <w:pStyle w:val="NoSpacing"/>
        <w:rPr>
          <w:rFonts w:cstheme="minorHAnsi"/>
          <w:b/>
          <w:bCs/>
        </w:rPr>
      </w:pPr>
    </w:p>
    <w:p w14:paraId="7076FA19" w14:textId="3B7B86F1" w:rsidR="007B65AB" w:rsidRPr="007B65AB" w:rsidRDefault="007B65AB" w:rsidP="0043427F">
      <w:pPr>
        <w:pStyle w:val="NoSpacing"/>
        <w:rPr>
          <w:rFonts w:cstheme="minorHAnsi"/>
          <w:b/>
          <w:bCs/>
        </w:rPr>
      </w:pPr>
      <w:r w:rsidRPr="007B65AB">
        <w:rPr>
          <w:rFonts w:cstheme="minorHAnsi"/>
          <w:b/>
          <w:bCs/>
        </w:rPr>
        <w:t>University Travel Policy</w:t>
      </w:r>
      <w:r>
        <w:rPr>
          <w:rFonts w:cstheme="minorHAnsi"/>
          <w:b/>
          <w:bCs/>
        </w:rPr>
        <w:t xml:space="preserve"> (</w:t>
      </w:r>
      <w:hyperlink r:id="rId7" w:history="1">
        <w:r w:rsidRPr="001A4E3B">
          <w:rPr>
            <w:rStyle w:val="Hyperlink"/>
            <w:rFonts w:cstheme="minorHAnsi"/>
            <w:b/>
            <w:bCs/>
          </w:rPr>
          <w:t>https://www.finance.admin.cam.ac.uk/policy-and-procedures/financial-procedures/chapter-5b-expenses-benefits/travel-university-4</w:t>
        </w:r>
      </w:hyperlink>
      <w:r>
        <w:rPr>
          <w:rFonts w:cstheme="minorHAnsi"/>
          <w:b/>
          <w:bCs/>
        </w:rPr>
        <w:t xml:space="preserve">) </w:t>
      </w:r>
    </w:p>
    <w:p w14:paraId="52D84D10" w14:textId="4F1136DA" w:rsidR="007B65AB" w:rsidRPr="007B65AB" w:rsidRDefault="007B65AB" w:rsidP="0043427F">
      <w:pPr>
        <w:pStyle w:val="NoSpacing"/>
        <w:rPr>
          <w:rFonts w:cstheme="minorHAnsi"/>
          <w:b/>
          <w:bCs/>
        </w:rPr>
      </w:pPr>
    </w:p>
    <w:p w14:paraId="14565C5A" w14:textId="1B550C2A" w:rsidR="007B65AB" w:rsidRPr="007B65AB" w:rsidRDefault="000E2F0F" w:rsidP="007B65AB">
      <w:pPr>
        <w:shd w:val="clear" w:color="auto" w:fill="FFFFFF"/>
        <w:spacing w:after="150" w:line="240" w:lineRule="auto"/>
        <w:rPr>
          <w:rFonts w:eastAsia="Times New Roman" w:cstheme="minorHAnsi"/>
          <w:color w:val="171717"/>
          <w:lang w:eastAsia="en-GB"/>
        </w:rPr>
      </w:pPr>
      <w:r>
        <w:rPr>
          <w:rFonts w:eastAsia="Times New Roman" w:cstheme="minorHAnsi"/>
          <w:color w:val="171717"/>
          <w:lang w:eastAsia="en-GB"/>
        </w:rPr>
        <w:t>T</w:t>
      </w:r>
      <w:r w:rsidR="007B65AB" w:rsidRPr="007B65AB">
        <w:rPr>
          <w:rFonts w:eastAsia="Times New Roman" w:cstheme="minorHAnsi"/>
          <w:color w:val="171717"/>
          <w:lang w:eastAsia="en-GB"/>
        </w:rPr>
        <w:t>he University is required to ensure that money is disbursed in accordance with agreed policy and procedures to ensure both fairness and value for money. Therefore, all employees should be aware of the following guidance and procedures</w:t>
      </w:r>
      <w:r w:rsidR="007B65AB">
        <w:rPr>
          <w:rFonts w:eastAsia="Times New Roman" w:cstheme="minorHAnsi"/>
          <w:color w:val="171717"/>
          <w:lang w:eastAsia="en-GB"/>
        </w:rPr>
        <w:t xml:space="preserve">: </w:t>
      </w:r>
    </w:p>
    <w:p w14:paraId="5021AD1B" w14:textId="77777777" w:rsidR="007B65AB" w:rsidRPr="007B65AB" w:rsidRDefault="007B65AB" w:rsidP="007B65AB">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Employees should travel and be accommodated in safety with reasonable comfort and be reimbursed for the actual travel and associated expenses incurred wholly and necessarily in the performance of their duties.</w:t>
      </w:r>
    </w:p>
    <w:p w14:paraId="7758EA97" w14:textId="7F6038FD" w:rsidR="007B65AB" w:rsidRPr="007B65AB" w:rsidRDefault="007B65AB" w:rsidP="007B65AB">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Employees should always choose the most cost-effective method of transport for business journeys bearing in mind the numbers travelling and time considerations. Generally, cars should only be used where it is impractical to use other methods of transport or where use of a car is more cost-effective when time and other considerations are taken into account.</w:t>
      </w:r>
    </w:p>
    <w:p w14:paraId="292CAB74" w14:textId="77777777" w:rsidR="007B65AB" w:rsidRPr="007B65AB" w:rsidRDefault="007B65AB" w:rsidP="007B65AB">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Preferred suppliers of the University should be used wherever possible.</w:t>
      </w:r>
    </w:p>
    <w:p w14:paraId="31BA39B6" w14:textId="77777777" w:rsidR="007B65AB" w:rsidRPr="007B65AB" w:rsidRDefault="007B65AB" w:rsidP="007B65AB">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Where several staff are attending the same meeting, conference etc then wherever possible they should try to share cars or taxis.</w:t>
      </w:r>
    </w:p>
    <w:p w14:paraId="5044DA47" w14:textId="77777777" w:rsidR="007B65AB" w:rsidRPr="007B65AB" w:rsidRDefault="007B65AB" w:rsidP="007B65AB">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Wherever possible and subject to business needs, travel reservations should be made in time to take advantage of cheaper fares or accommodation e.g. off peak and Apex.</w:t>
      </w:r>
    </w:p>
    <w:p w14:paraId="62723371" w14:textId="2F1C7AAF" w:rsidR="007B65AB" w:rsidRPr="007B65AB" w:rsidRDefault="007B65AB" w:rsidP="0043427F">
      <w:pPr>
        <w:numPr>
          <w:ilvl w:val="0"/>
          <w:numId w:val="3"/>
        </w:numPr>
        <w:shd w:val="clear" w:color="auto" w:fill="FFFFFF"/>
        <w:spacing w:after="150" w:line="270" w:lineRule="atLeast"/>
        <w:ind w:left="420"/>
        <w:rPr>
          <w:rFonts w:eastAsia="Times New Roman" w:cstheme="minorHAnsi"/>
          <w:color w:val="171717"/>
          <w:lang w:eastAsia="en-GB"/>
        </w:rPr>
      </w:pPr>
      <w:r w:rsidRPr="007B65AB">
        <w:rPr>
          <w:rFonts w:eastAsia="Times New Roman" w:cstheme="minorHAnsi"/>
          <w:color w:val="171717"/>
          <w:lang w:eastAsia="en-GB"/>
        </w:rPr>
        <w:t>Staff must also comply with any further constraints in travel policies contained within terms and conditions imposed by research funders.</w:t>
      </w:r>
    </w:p>
    <w:p w14:paraId="0E7E2A20" w14:textId="69294CDF" w:rsidR="0043427F" w:rsidRPr="0043427F" w:rsidRDefault="0043427F" w:rsidP="0043427F">
      <w:pPr>
        <w:pStyle w:val="NoSpacing"/>
        <w:rPr>
          <w:b/>
          <w:bCs/>
        </w:rPr>
      </w:pPr>
      <w:r w:rsidRPr="0043427F">
        <w:rPr>
          <w:b/>
          <w:bCs/>
        </w:rPr>
        <w:t>Sustainability</w:t>
      </w:r>
    </w:p>
    <w:p w14:paraId="7900AAF7" w14:textId="77777777" w:rsidR="0043427F" w:rsidRDefault="0043427F" w:rsidP="0043427F">
      <w:pPr>
        <w:pStyle w:val="NoSpacing"/>
      </w:pPr>
    </w:p>
    <w:p w14:paraId="7D205E9A" w14:textId="6BE6C0C5" w:rsidR="0043427F" w:rsidRDefault="0043427F" w:rsidP="0043427F">
      <w:pPr>
        <w:pStyle w:val="NoSpacing"/>
      </w:pPr>
      <w:r>
        <w:t xml:space="preserve">The University is committed to making a positive impact through outstanding environmental sustainability performance. It has therefore introduced guidelines for sustainable business travel </w:t>
      </w:r>
      <w:hyperlink r:id="rId8" w:history="1">
        <w:r w:rsidRPr="001A4E3B">
          <w:rPr>
            <w:rStyle w:val="Hyperlink"/>
          </w:rPr>
          <w:t>https://www.environment.admin.cam.ac.uk/files/guidelines_for_sustainable_business_travel_approved.pdf</w:t>
        </w:r>
      </w:hyperlink>
      <w:r>
        <w:t xml:space="preserve"> </w:t>
      </w:r>
    </w:p>
    <w:p w14:paraId="613E3458" w14:textId="77777777" w:rsidR="0043427F" w:rsidRPr="0043427F" w:rsidRDefault="0043427F" w:rsidP="0043427F">
      <w:pPr>
        <w:pStyle w:val="NoSpacing"/>
      </w:pPr>
      <w:r w:rsidRPr="0043427F">
        <w:t> </w:t>
      </w:r>
    </w:p>
    <w:p w14:paraId="2A6AEC76" w14:textId="28C07137" w:rsidR="0043427F" w:rsidRDefault="0043427F" w:rsidP="0043427F">
      <w:pPr>
        <w:pStyle w:val="NoSpacing"/>
      </w:pPr>
      <w:r w:rsidRPr="0043427F">
        <w:t>The guidelines apply to all University staff and all students who choose to / are required to undertake travel as part of their learning or research. In summary, the guidelines recommend that:</w:t>
      </w:r>
    </w:p>
    <w:p w14:paraId="79C4092B" w14:textId="77777777" w:rsidR="000E2F0F" w:rsidRPr="0043427F" w:rsidRDefault="000E2F0F" w:rsidP="0043427F">
      <w:pPr>
        <w:pStyle w:val="NoSpacing"/>
      </w:pPr>
    </w:p>
    <w:p w14:paraId="62FE3232" w14:textId="77777777" w:rsidR="0043427F" w:rsidRPr="0043427F" w:rsidRDefault="0043427F" w:rsidP="0043427F">
      <w:pPr>
        <w:pStyle w:val="NoSpacing"/>
        <w:numPr>
          <w:ilvl w:val="0"/>
          <w:numId w:val="2"/>
        </w:numPr>
      </w:pPr>
      <w:r w:rsidRPr="0043427F">
        <w:t>Staff and students attend meetings and conferences virtually </w:t>
      </w:r>
    </w:p>
    <w:p w14:paraId="4CD8A55E" w14:textId="77777777" w:rsidR="0043427F" w:rsidRPr="0043427F" w:rsidRDefault="0043427F" w:rsidP="0043427F">
      <w:pPr>
        <w:pStyle w:val="NoSpacing"/>
        <w:numPr>
          <w:ilvl w:val="0"/>
          <w:numId w:val="2"/>
        </w:numPr>
      </w:pPr>
      <w:r w:rsidRPr="0043427F">
        <w:t>Staff and students consider whether their travel is essential (guidance on defining this is provided) </w:t>
      </w:r>
    </w:p>
    <w:p w14:paraId="2E4CF4FF" w14:textId="77777777" w:rsidR="0043427F" w:rsidRPr="0043427F" w:rsidRDefault="0043427F" w:rsidP="0043427F">
      <w:pPr>
        <w:pStyle w:val="NoSpacing"/>
        <w:numPr>
          <w:ilvl w:val="0"/>
          <w:numId w:val="2"/>
        </w:numPr>
      </w:pPr>
      <w:r w:rsidRPr="0043427F">
        <w:t>Staff and students prioritise modes of travel that have the lowest carbon impact, and provide a hierarchy of preferred travel modes </w:t>
      </w:r>
    </w:p>
    <w:p w14:paraId="595F990D" w14:textId="77777777" w:rsidR="0043427F" w:rsidRPr="0043427F" w:rsidRDefault="0043427F" w:rsidP="0043427F">
      <w:pPr>
        <w:pStyle w:val="NoSpacing"/>
        <w:numPr>
          <w:ilvl w:val="0"/>
          <w:numId w:val="2"/>
        </w:numPr>
      </w:pPr>
      <w:r w:rsidRPr="0043427F">
        <w:t>Flights to UK destinations and to European destinations that can be reached by train within six hours from London terminals are discouraged </w:t>
      </w:r>
    </w:p>
    <w:p w14:paraId="437F6D53" w14:textId="77777777" w:rsidR="0043427F" w:rsidRPr="0043427F" w:rsidRDefault="0043427F" w:rsidP="0043427F">
      <w:pPr>
        <w:pStyle w:val="NoSpacing"/>
        <w:numPr>
          <w:ilvl w:val="0"/>
          <w:numId w:val="2"/>
        </w:numPr>
      </w:pPr>
      <w:r w:rsidRPr="0043427F">
        <w:t xml:space="preserve">Where it is necessary to travel by plane, staff and students are strongly encouraged to offset the carbon emissions in accordance with the University’s </w:t>
      </w:r>
      <w:hyperlink r:id="rId9" w:history="1">
        <w:r w:rsidRPr="0043427F">
          <w:rPr>
            <w:rStyle w:val="Hyperlink"/>
          </w:rPr>
          <w:t>offsetting policy</w:t>
        </w:r>
      </w:hyperlink>
      <w:r w:rsidRPr="0043427F">
        <w:t>. </w:t>
      </w:r>
    </w:p>
    <w:p w14:paraId="6CF35D54" w14:textId="3B5CA305" w:rsidR="0043427F" w:rsidRDefault="0043427F" w:rsidP="0043427F">
      <w:pPr>
        <w:pStyle w:val="NoSpacing"/>
      </w:pPr>
      <w:r w:rsidRPr="0043427F">
        <w:t> </w:t>
      </w:r>
    </w:p>
    <w:p w14:paraId="5F33DE2D" w14:textId="77777777" w:rsidR="000E2F0F" w:rsidRDefault="000E2F0F" w:rsidP="0043427F">
      <w:pPr>
        <w:rPr>
          <w:b/>
          <w:bCs/>
        </w:rPr>
      </w:pPr>
    </w:p>
    <w:p w14:paraId="4E848908" w14:textId="77777777" w:rsidR="007269BE" w:rsidRDefault="007269BE" w:rsidP="0043427F">
      <w:pPr>
        <w:rPr>
          <w:b/>
          <w:bCs/>
        </w:rPr>
      </w:pPr>
    </w:p>
    <w:p w14:paraId="53B74EE4" w14:textId="1517D64A" w:rsidR="009D636A" w:rsidRPr="0043427F" w:rsidRDefault="0043427F" w:rsidP="0043427F">
      <w:pPr>
        <w:rPr>
          <w:b/>
          <w:bCs/>
        </w:rPr>
      </w:pPr>
      <w:r w:rsidRPr="0043427F">
        <w:rPr>
          <w:b/>
          <w:bCs/>
        </w:rPr>
        <w:lastRenderedPageBreak/>
        <w:t>CEU Process for booking travel</w:t>
      </w:r>
    </w:p>
    <w:p w14:paraId="5C5FE1A7" w14:textId="4149E88B" w:rsidR="00491BE2" w:rsidRDefault="0096705D" w:rsidP="009D636A">
      <w:pPr>
        <w:pStyle w:val="ListParagraph"/>
        <w:numPr>
          <w:ilvl w:val="0"/>
          <w:numId w:val="1"/>
        </w:numPr>
      </w:pPr>
      <w:r>
        <w:t>Get approval from line manager/supervisor for your work away plans. For students, also inform your respective College Tutor.</w:t>
      </w:r>
    </w:p>
    <w:p w14:paraId="6A5FD4E8" w14:textId="1A983617" w:rsidR="009D636A" w:rsidRDefault="009D636A" w:rsidP="009D636A">
      <w:pPr>
        <w:pStyle w:val="ListParagraph"/>
        <w:numPr>
          <w:ilvl w:val="0"/>
          <w:numId w:val="1"/>
        </w:numPr>
      </w:pPr>
      <w:r>
        <w:t xml:space="preserve">Contact the Operations Team (Tamara </w:t>
      </w:r>
      <w:r w:rsidR="00491BE2">
        <w:t xml:space="preserve">Sabri </w:t>
      </w:r>
      <w:hyperlink r:id="rId10" w:history="1">
        <w:r w:rsidR="00491BE2" w:rsidRPr="0086744E">
          <w:rPr>
            <w:rStyle w:val="Hyperlink"/>
          </w:rPr>
          <w:t>ts860@medschl.cam.ac.uk</w:t>
        </w:r>
      </w:hyperlink>
      <w:r w:rsidR="00491BE2">
        <w:t xml:space="preserve"> </w:t>
      </w:r>
      <w:r>
        <w:t>and Ank</w:t>
      </w:r>
      <w:r w:rsidR="00491BE2">
        <w:t xml:space="preserve"> Michielsen am2710@medschl.cam.a.cuk</w:t>
      </w:r>
      <w:r>
        <w:t xml:space="preserve">) and notify them of your intention to travel. They will allocate a member of the team to support you and check there is an appropriate budget available for your trip. </w:t>
      </w:r>
    </w:p>
    <w:p w14:paraId="58F36449" w14:textId="0727C93E" w:rsidR="009D636A" w:rsidRDefault="009D636A" w:rsidP="009D636A">
      <w:pPr>
        <w:pStyle w:val="ListParagraph"/>
        <w:numPr>
          <w:ilvl w:val="0"/>
          <w:numId w:val="1"/>
        </w:numPr>
      </w:pPr>
      <w:r>
        <w:t>The operations team will pre book your travel and accommodation using the University supplier</w:t>
      </w:r>
      <w:r w:rsidR="0043427F">
        <w:t>,</w:t>
      </w:r>
      <w:r>
        <w:t xml:space="preserve"> Key Travel. In some cases, where a preferential rate has been negotiated by the conference host, bookings can be made directly with hotels. </w:t>
      </w:r>
      <w:r w:rsidR="0043427F">
        <w:t xml:space="preserve">They will also pay for any conference fees. </w:t>
      </w:r>
    </w:p>
    <w:p w14:paraId="48156411" w14:textId="0C20D7E8" w:rsidR="009D636A" w:rsidRDefault="009D636A" w:rsidP="009D636A">
      <w:pPr>
        <w:pStyle w:val="ListParagraph"/>
        <w:numPr>
          <w:ilvl w:val="0"/>
          <w:numId w:val="1"/>
        </w:numPr>
      </w:pPr>
      <w:r>
        <w:t xml:space="preserve">If you are travelling overseas, please ensure you apply for travel insurance </w:t>
      </w:r>
      <w:hyperlink r:id="rId11" w:anchor="/activation" w:history="1">
        <w:r w:rsidRPr="001A4E3B">
          <w:rPr>
            <w:rStyle w:val="Hyperlink"/>
          </w:rPr>
          <w:t>https://travelcert.ajg.com/#/activation</w:t>
        </w:r>
      </w:hyperlink>
      <w:r>
        <w:t xml:space="preserve"> You’ll need to input these details to access the university account: Institution: University of Cambridge, Passcode: 300621</w:t>
      </w:r>
    </w:p>
    <w:p w14:paraId="63079D9F" w14:textId="677EAEDF" w:rsidR="000E2F0F" w:rsidRDefault="000E2F0F" w:rsidP="009D636A">
      <w:pPr>
        <w:pStyle w:val="ListParagraph"/>
        <w:numPr>
          <w:ilvl w:val="0"/>
          <w:numId w:val="1"/>
        </w:numPr>
      </w:pPr>
      <w:r>
        <w:t xml:space="preserve">Please ensure you also complete a risk assessment for your travel: </w:t>
      </w:r>
      <w:hyperlink r:id="rId12" w:history="1">
        <w:r w:rsidRPr="00472384">
          <w:rPr>
            <w:rStyle w:val="Hyperlink"/>
          </w:rPr>
          <w:t>https://intranet.phpc.cam.ac.uk/human-resources/travel/</w:t>
        </w:r>
      </w:hyperlink>
      <w:r>
        <w:t xml:space="preserve"> </w:t>
      </w:r>
    </w:p>
    <w:p w14:paraId="7D476783" w14:textId="09EAB1AF" w:rsidR="009D636A" w:rsidRDefault="0043427F" w:rsidP="0043427F">
      <w:pPr>
        <w:pStyle w:val="ListParagraph"/>
        <w:numPr>
          <w:ilvl w:val="0"/>
          <w:numId w:val="1"/>
        </w:numPr>
      </w:pPr>
      <w:r>
        <w:t>Whilst travelling, you will need to adhere to the University subsistence rates</w:t>
      </w:r>
      <w:r w:rsidR="00EF601F">
        <w:t xml:space="preserve"> for food and drink. </w:t>
      </w:r>
      <w:r w:rsidR="00EF601F" w:rsidRPr="00EF601F">
        <w:t xml:space="preserve">The maximum subsistence rates detailed include taxes (e.g. VAT) and gratuities (tips). </w:t>
      </w:r>
    </w:p>
    <w:p w14:paraId="7ECB10D7" w14:textId="0776D026" w:rsidR="00EF601F" w:rsidRDefault="00EF601F" w:rsidP="0043427F">
      <w:pPr>
        <w:pStyle w:val="ListParagraph"/>
        <w:numPr>
          <w:ilvl w:val="0"/>
          <w:numId w:val="1"/>
        </w:numPr>
      </w:pPr>
      <w:r>
        <w:t xml:space="preserve">Upon returning, please submit your expenses claiming via Concur </w:t>
      </w:r>
      <w:hyperlink r:id="rId13" w:history="1">
        <w:r w:rsidR="0034009A" w:rsidRPr="001A4E3B">
          <w:rPr>
            <w:rStyle w:val="Hyperlink"/>
          </w:rPr>
          <w:t>https://eu2.concursolutions.com/home.asp</w:t>
        </w:r>
      </w:hyperlink>
      <w:r w:rsidR="0034009A">
        <w:t xml:space="preserve"> </w:t>
      </w:r>
      <w:r>
        <w:t xml:space="preserve">(for staff) or </w:t>
      </w:r>
      <w:r w:rsidR="000E2F0F">
        <w:t xml:space="preserve">by </w:t>
      </w:r>
      <w:r w:rsidR="002D44DB">
        <w:t xml:space="preserve">completing the </w:t>
      </w:r>
      <w:r w:rsidR="002D44DB" w:rsidRPr="002D44DB">
        <w:t>FD1A/1</w:t>
      </w:r>
      <w:r w:rsidR="002D44DB">
        <w:t xml:space="preserve"> form </w:t>
      </w:r>
      <w:hyperlink r:id="rId14" w:history="1">
        <w:r w:rsidR="008159DF" w:rsidRPr="001A4E3B">
          <w:rPr>
            <w:rStyle w:val="Hyperlink"/>
          </w:rPr>
          <w:t>https://www.finance.admin.cam.ac.uk/expense-forms</w:t>
        </w:r>
      </w:hyperlink>
      <w:r w:rsidR="008159DF">
        <w:t xml:space="preserve"> (for students)</w:t>
      </w:r>
    </w:p>
    <w:p w14:paraId="741BE4CB" w14:textId="62760788" w:rsidR="00491BE2" w:rsidRDefault="00491BE2" w:rsidP="0043427F">
      <w:pPr>
        <w:pStyle w:val="ListParagraph"/>
        <w:numPr>
          <w:ilvl w:val="0"/>
          <w:numId w:val="1"/>
        </w:numPr>
      </w:pPr>
      <w:r>
        <w:t>Most of the travel expenses will be booked on a research grant. For some grant</w:t>
      </w:r>
      <w:r w:rsidR="0096705D">
        <w:t>s</w:t>
      </w:r>
      <w:r>
        <w:t>, a separate declaration form has to be filled in with details of the trip. The Operational Team will contact you if this is applicable for your trip.</w:t>
      </w:r>
    </w:p>
    <w:p w14:paraId="7BD16441" w14:textId="42DB3DB6" w:rsidR="003D2C7A" w:rsidRPr="003D2C7A" w:rsidRDefault="003D2C7A" w:rsidP="00862454">
      <w:r w:rsidRPr="0096705D">
        <w:rPr>
          <w:b/>
          <w:bCs/>
        </w:rPr>
        <w:t>All expense claims must be supported by adequate evidence</w:t>
      </w:r>
      <w:r w:rsidRPr="003D2C7A">
        <w:t xml:space="preserve"> (e.g. original copies of receipts, invoices or bills) that the cost has actually been incurred. Without evidence an expense </w:t>
      </w:r>
      <w:r>
        <w:t>will</w:t>
      </w:r>
      <w:r w:rsidRPr="003D2C7A">
        <w:t xml:space="preserve"> not be paid unless:</w:t>
      </w:r>
    </w:p>
    <w:p w14:paraId="2B000CF2" w14:textId="77777777" w:rsidR="003D2C7A" w:rsidRPr="003D2C7A" w:rsidRDefault="003D2C7A" w:rsidP="003D2C7A">
      <w:pPr>
        <w:pStyle w:val="ListParagraph"/>
        <w:numPr>
          <w:ilvl w:val="0"/>
          <w:numId w:val="5"/>
        </w:numPr>
      </w:pPr>
      <w:r w:rsidRPr="003D2C7A">
        <w:t>There are exceptional circumstances e.g. loss of evidence due to theft or fire.</w:t>
      </w:r>
    </w:p>
    <w:p w14:paraId="1A41FCE9" w14:textId="76F4BAA9" w:rsidR="0023170C" w:rsidRDefault="003D2C7A" w:rsidP="00862454">
      <w:pPr>
        <w:pStyle w:val="ListParagraph"/>
        <w:numPr>
          <w:ilvl w:val="0"/>
          <w:numId w:val="5"/>
        </w:numPr>
      </w:pPr>
      <w:r w:rsidRPr="003D2C7A">
        <w:t>It is reasonable out of pocket business expenses under £5 where it was not possible to obtain a receipt e.g. parking meters, tube and bus fares, telephone calls from public telephone boxes and toll charges.</w:t>
      </w:r>
    </w:p>
    <w:p w14:paraId="55B4CB55" w14:textId="3E86B928" w:rsidR="008159DF" w:rsidRDefault="008159DF" w:rsidP="00862454">
      <w:r w:rsidRPr="00EF601F">
        <w:t>Expenses will not be reimbursed for alcoholic beverages.</w:t>
      </w:r>
    </w:p>
    <w:p w14:paraId="1769A042" w14:textId="40689707" w:rsidR="00B807BF" w:rsidRPr="00B807BF" w:rsidRDefault="00B807BF" w:rsidP="00B807BF">
      <w:pPr>
        <w:rPr>
          <w:b/>
          <w:bCs/>
        </w:rPr>
      </w:pPr>
      <w:r w:rsidRPr="00B807BF">
        <w:rPr>
          <w:b/>
          <w:bCs/>
        </w:rPr>
        <w:t>Subsistence Rates</w:t>
      </w:r>
      <w:r w:rsidR="00491BE2">
        <w:rPr>
          <w:b/>
          <w:bCs/>
        </w:rPr>
        <w:t xml:space="preserve"> </w:t>
      </w:r>
      <w:r w:rsidR="00491BE2" w:rsidRPr="00491BE2">
        <w:rPr>
          <w:b/>
          <w:bCs/>
        </w:rPr>
        <w:t>https://www.expenses.admin.cam.ac.uk/expense-rates/subsistence-rates</w:t>
      </w:r>
    </w:p>
    <w:tbl>
      <w:tblPr>
        <w:tblStyle w:val="TableGrid"/>
        <w:tblpPr w:leftFromText="180" w:rightFromText="180" w:vertAnchor="text" w:tblpY="1"/>
        <w:tblW w:w="4645" w:type="pct"/>
        <w:tblLook w:val="04A0" w:firstRow="1" w:lastRow="0" w:firstColumn="1" w:lastColumn="0" w:noHBand="0" w:noVBand="1"/>
        <w:tblDescription w:val=""/>
      </w:tblPr>
      <w:tblGrid>
        <w:gridCol w:w="6106"/>
        <w:gridCol w:w="2270"/>
      </w:tblGrid>
      <w:tr w:rsidR="009D636A" w:rsidRPr="009D636A" w14:paraId="55E270FD" w14:textId="77777777" w:rsidTr="00F45D47">
        <w:tc>
          <w:tcPr>
            <w:tcW w:w="3645" w:type="pct"/>
            <w:hideMark/>
          </w:tcPr>
          <w:p w14:paraId="55FAE2C4" w14:textId="77777777" w:rsidR="009D636A" w:rsidRPr="009D636A" w:rsidRDefault="009D636A" w:rsidP="009D636A">
            <w:pPr>
              <w:spacing w:after="160" w:line="259" w:lineRule="auto"/>
            </w:pPr>
            <w:r w:rsidRPr="009D636A">
              <w:t> </w:t>
            </w:r>
          </w:p>
        </w:tc>
        <w:tc>
          <w:tcPr>
            <w:tcW w:w="1355" w:type="pct"/>
            <w:hideMark/>
          </w:tcPr>
          <w:p w14:paraId="1582CC40" w14:textId="558BC0D7" w:rsidR="009D636A" w:rsidRPr="009D636A" w:rsidRDefault="0043427F" w:rsidP="009D636A">
            <w:pPr>
              <w:spacing w:after="160" w:line="259" w:lineRule="auto"/>
            </w:pPr>
            <w:r>
              <w:rPr>
                <w:b/>
                <w:bCs/>
              </w:rPr>
              <w:t xml:space="preserve">As of </w:t>
            </w:r>
            <w:r w:rsidR="009D636A" w:rsidRPr="009D636A">
              <w:rPr>
                <w:b/>
                <w:bCs/>
              </w:rPr>
              <w:t>1 Feb 2022         </w:t>
            </w:r>
          </w:p>
        </w:tc>
      </w:tr>
      <w:tr w:rsidR="009D636A" w:rsidRPr="009D636A" w14:paraId="05D803D9" w14:textId="77777777" w:rsidTr="00F45D47">
        <w:tc>
          <w:tcPr>
            <w:tcW w:w="3645" w:type="pct"/>
            <w:hideMark/>
          </w:tcPr>
          <w:p w14:paraId="6B158D86" w14:textId="77777777" w:rsidR="009D636A" w:rsidRPr="009D636A" w:rsidRDefault="009D636A" w:rsidP="009D636A">
            <w:pPr>
              <w:spacing w:after="160" w:line="259" w:lineRule="auto"/>
            </w:pPr>
            <w:r w:rsidRPr="009D636A">
              <w:t>For part of a day including breakfast*</w:t>
            </w:r>
          </w:p>
        </w:tc>
        <w:tc>
          <w:tcPr>
            <w:tcW w:w="1355" w:type="pct"/>
            <w:hideMark/>
          </w:tcPr>
          <w:p w14:paraId="0AFF792A" w14:textId="77777777" w:rsidR="009D636A" w:rsidRPr="009D636A" w:rsidRDefault="009D636A" w:rsidP="009D636A">
            <w:pPr>
              <w:spacing w:after="160" w:line="259" w:lineRule="auto"/>
            </w:pPr>
            <w:r w:rsidRPr="009D636A">
              <w:t>£10.00</w:t>
            </w:r>
          </w:p>
        </w:tc>
      </w:tr>
      <w:tr w:rsidR="009D636A" w:rsidRPr="009D636A" w14:paraId="4F47CF97" w14:textId="77777777" w:rsidTr="00F45D47">
        <w:tc>
          <w:tcPr>
            <w:tcW w:w="3645" w:type="pct"/>
            <w:hideMark/>
          </w:tcPr>
          <w:p w14:paraId="4B18492A" w14:textId="77777777" w:rsidR="009D636A" w:rsidRPr="009D636A" w:rsidRDefault="009D636A" w:rsidP="009D636A">
            <w:pPr>
              <w:spacing w:after="160" w:line="259" w:lineRule="auto"/>
            </w:pPr>
            <w:r w:rsidRPr="009D636A">
              <w:t>For part of a day including lunch</w:t>
            </w:r>
          </w:p>
        </w:tc>
        <w:tc>
          <w:tcPr>
            <w:tcW w:w="1355" w:type="pct"/>
            <w:hideMark/>
          </w:tcPr>
          <w:p w14:paraId="22DB39DE" w14:textId="77777777" w:rsidR="009D636A" w:rsidRPr="009D636A" w:rsidRDefault="009D636A" w:rsidP="009D636A">
            <w:pPr>
              <w:spacing w:after="160" w:line="259" w:lineRule="auto"/>
            </w:pPr>
            <w:r w:rsidRPr="009D636A">
              <w:t>£10.00</w:t>
            </w:r>
          </w:p>
        </w:tc>
      </w:tr>
      <w:tr w:rsidR="009D636A" w:rsidRPr="009D636A" w14:paraId="4D83838F" w14:textId="77777777" w:rsidTr="00F45D47">
        <w:tc>
          <w:tcPr>
            <w:tcW w:w="3645" w:type="pct"/>
            <w:hideMark/>
          </w:tcPr>
          <w:p w14:paraId="10F3BACF" w14:textId="77777777" w:rsidR="009D636A" w:rsidRPr="009D636A" w:rsidRDefault="009D636A" w:rsidP="009D636A">
            <w:pPr>
              <w:spacing w:after="160" w:line="259" w:lineRule="auto"/>
            </w:pPr>
            <w:r w:rsidRPr="009D636A">
              <w:t>For part of a day including dinner</w:t>
            </w:r>
          </w:p>
        </w:tc>
        <w:tc>
          <w:tcPr>
            <w:tcW w:w="1355" w:type="pct"/>
            <w:hideMark/>
          </w:tcPr>
          <w:p w14:paraId="0054BA80" w14:textId="77777777" w:rsidR="009D636A" w:rsidRPr="009D636A" w:rsidRDefault="009D636A" w:rsidP="009D636A">
            <w:pPr>
              <w:spacing w:after="160" w:line="259" w:lineRule="auto"/>
            </w:pPr>
            <w:r w:rsidRPr="009D636A">
              <w:t>£25.00</w:t>
            </w:r>
          </w:p>
        </w:tc>
      </w:tr>
      <w:tr w:rsidR="009D636A" w:rsidRPr="009D636A" w14:paraId="500DFB8F" w14:textId="77777777" w:rsidTr="00F45D47">
        <w:tc>
          <w:tcPr>
            <w:tcW w:w="3645" w:type="pct"/>
            <w:hideMark/>
          </w:tcPr>
          <w:p w14:paraId="495AF498" w14:textId="77777777" w:rsidR="009D636A" w:rsidRPr="009D636A" w:rsidRDefault="009D636A" w:rsidP="009D636A">
            <w:pPr>
              <w:spacing w:after="160" w:line="259" w:lineRule="auto"/>
            </w:pPr>
            <w:r w:rsidRPr="009D636A">
              <w:t>For part of a day including lunch and dinner</w:t>
            </w:r>
          </w:p>
        </w:tc>
        <w:tc>
          <w:tcPr>
            <w:tcW w:w="1355" w:type="pct"/>
            <w:hideMark/>
          </w:tcPr>
          <w:p w14:paraId="0B90E0D5" w14:textId="77777777" w:rsidR="009D636A" w:rsidRPr="009D636A" w:rsidRDefault="009D636A" w:rsidP="009D636A">
            <w:pPr>
              <w:spacing w:after="160" w:line="259" w:lineRule="auto"/>
            </w:pPr>
            <w:r w:rsidRPr="009D636A">
              <w:t>£35.00</w:t>
            </w:r>
          </w:p>
        </w:tc>
      </w:tr>
      <w:tr w:rsidR="009D636A" w:rsidRPr="009D636A" w14:paraId="4A867841" w14:textId="77777777" w:rsidTr="00F45D47">
        <w:tc>
          <w:tcPr>
            <w:tcW w:w="3645" w:type="pct"/>
            <w:hideMark/>
          </w:tcPr>
          <w:p w14:paraId="43786EEC" w14:textId="77777777" w:rsidR="009D636A" w:rsidRPr="009D636A" w:rsidRDefault="009D636A" w:rsidP="009D636A">
            <w:pPr>
              <w:spacing w:after="160" w:line="259" w:lineRule="auto"/>
            </w:pPr>
            <w:r w:rsidRPr="009D636A">
              <w:t>For bed and breakfast</w:t>
            </w:r>
          </w:p>
        </w:tc>
        <w:tc>
          <w:tcPr>
            <w:tcW w:w="1355" w:type="pct"/>
            <w:hideMark/>
          </w:tcPr>
          <w:p w14:paraId="16F184F5" w14:textId="77777777" w:rsidR="009D636A" w:rsidRPr="009D636A" w:rsidRDefault="009D636A" w:rsidP="009D636A">
            <w:pPr>
              <w:spacing w:after="160" w:line="259" w:lineRule="auto"/>
            </w:pPr>
            <w:r w:rsidRPr="009D636A">
              <w:t>£120.00</w:t>
            </w:r>
          </w:p>
        </w:tc>
      </w:tr>
      <w:tr w:rsidR="009D636A" w:rsidRPr="009D636A" w14:paraId="050C550E" w14:textId="77777777" w:rsidTr="00F45D47">
        <w:tc>
          <w:tcPr>
            <w:tcW w:w="3645" w:type="pct"/>
            <w:hideMark/>
          </w:tcPr>
          <w:p w14:paraId="23C039DF" w14:textId="77777777" w:rsidR="009D636A" w:rsidRPr="009D636A" w:rsidRDefault="009D636A" w:rsidP="009D636A">
            <w:pPr>
              <w:spacing w:after="160" w:line="259" w:lineRule="auto"/>
            </w:pPr>
            <w:r w:rsidRPr="009D636A">
              <w:t>For bed and breakfast (London rate)</w:t>
            </w:r>
          </w:p>
        </w:tc>
        <w:tc>
          <w:tcPr>
            <w:tcW w:w="1355" w:type="pct"/>
            <w:hideMark/>
          </w:tcPr>
          <w:p w14:paraId="5689F1C1" w14:textId="77777777" w:rsidR="009D636A" w:rsidRPr="009D636A" w:rsidRDefault="009D636A" w:rsidP="009D636A">
            <w:pPr>
              <w:spacing w:after="160" w:line="259" w:lineRule="auto"/>
            </w:pPr>
            <w:r w:rsidRPr="009D636A">
              <w:t>£150.00</w:t>
            </w:r>
          </w:p>
        </w:tc>
      </w:tr>
      <w:tr w:rsidR="009D636A" w:rsidRPr="009D636A" w14:paraId="26DBC23C" w14:textId="77777777" w:rsidTr="00F45D47">
        <w:tc>
          <w:tcPr>
            <w:tcW w:w="3645" w:type="pct"/>
            <w:hideMark/>
          </w:tcPr>
          <w:p w14:paraId="4527A8B1" w14:textId="77777777" w:rsidR="009D636A" w:rsidRPr="009D636A" w:rsidRDefault="009D636A" w:rsidP="009D636A">
            <w:pPr>
              <w:spacing w:after="160" w:line="259" w:lineRule="auto"/>
            </w:pPr>
            <w:r w:rsidRPr="009D636A">
              <w:lastRenderedPageBreak/>
              <w:t>The allowance for a complete period of 24 hours outside London</w:t>
            </w:r>
          </w:p>
        </w:tc>
        <w:tc>
          <w:tcPr>
            <w:tcW w:w="1355" w:type="pct"/>
            <w:hideMark/>
          </w:tcPr>
          <w:p w14:paraId="3BAE400B" w14:textId="77777777" w:rsidR="009D636A" w:rsidRPr="009D636A" w:rsidRDefault="009D636A" w:rsidP="009D636A">
            <w:pPr>
              <w:spacing w:after="160" w:line="259" w:lineRule="auto"/>
            </w:pPr>
            <w:r w:rsidRPr="009D636A">
              <w:t>£155.00</w:t>
            </w:r>
          </w:p>
        </w:tc>
      </w:tr>
      <w:tr w:rsidR="009D636A" w:rsidRPr="009D636A" w14:paraId="0DC5F238" w14:textId="77777777" w:rsidTr="00F45D47">
        <w:tc>
          <w:tcPr>
            <w:tcW w:w="3645" w:type="pct"/>
            <w:hideMark/>
          </w:tcPr>
          <w:p w14:paraId="57B74246" w14:textId="77777777" w:rsidR="009D636A" w:rsidRPr="009D636A" w:rsidRDefault="009D636A" w:rsidP="009D636A">
            <w:pPr>
              <w:spacing w:after="160" w:line="259" w:lineRule="auto"/>
            </w:pPr>
            <w:r w:rsidRPr="009D636A">
              <w:t>The allowance for a complete period of 24 hours in London</w:t>
            </w:r>
          </w:p>
        </w:tc>
        <w:tc>
          <w:tcPr>
            <w:tcW w:w="1355" w:type="pct"/>
            <w:hideMark/>
          </w:tcPr>
          <w:p w14:paraId="55433144" w14:textId="77777777" w:rsidR="009D636A" w:rsidRPr="009D636A" w:rsidRDefault="009D636A" w:rsidP="009D636A">
            <w:pPr>
              <w:spacing w:after="160" w:line="259" w:lineRule="auto"/>
            </w:pPr>
            <w:r w:rsidRPr="009D636A">
              <w:t>£185.00</w:t>
            </w:r>
          </w:p>
        </w:tc>
      </w:tr>
      <w:tr w:rsidR="009D636A" w:rsidRPr="009D636A" w14:paraId="6F209369" w14:textId="77777777" w:rsidTr="00F45D47">
        <w:tc>
          <w:tcPr>
            <w:tcW w:w="3645" w:type="pct"/>
            <w:hideMark/>
          </w:tcPr>
          <w:p w14:paraId="7DEA1320" w14:textId="77777777" w:rsidR="009D636A" w:rsidRPr="009D636A" w:rsidRDefault="009D636A" w:rsidP="009D636A">
            <w:pPr>
              <w:spacing w:after="160" w:line="259" w:lineRule="auto"/>
            </w:pPr>
            <w:r w:rsidRPr="009D636A">
              <w:t>Allowance for staying with friends or family</w:t>
            </w:r>
          </w:p>
        </w:tc>
        <w:tc>
          <w:tcPr>
            <w:tcW w:w="1355" w:type="pct"/>
            <w:hideMark/>
          </w:tcPr>
          <w:p w14:paraId="6D1F9193" w14:textId="77777777" w:rsidR="009D636A" w:rsidRPr="009D636A" w:rsidRDefault="009D636A" w:rsidP="009D636A">
            <w:pPr>
              <w:spacing w:after="160" w:line="259" w:lineRule="auto"/>
            </w:pPr>
            <w:r w:rsidRPr="009D636A">
              <w:t>£25.00</w:t>
            </w:r>
          </w:p>
        </w:tc>
      </w:tr>
    </w:tbl>
    <w:p w14:paraId="23B330D2" w14:textId="4045EF7D" w:rsidR="007B65AB" w:rsidRDefault="007B65AB" w:rsidP="007B65AB"/>
    <w:p w14:paraId="2CCAF2FF" w14:textId="77777777" w:rsidR="00F45D47" w:rsidRDefault="00F45D47" w:rsidP="007B65AB"/>
    <w:p w14:paraId="1EC32F5B" w14:textId="77777777" w:rsidR="00F45D47" w:rsidRDefault="00F45D47" w:rsidP="007B65AB"/>
    <w:p w14:paraId="32E75637" w14:textId="77777777" w:rsidR="00F45D47" w:rsidRDefault="00F45D47" w:rsidP="007B65AB"/>
    <w:p w14:paraId="1A09DCA5" w14:textId="7099F550" w:rsidR="00B807BF" w:rsidRDefault="00B807BF" w:rsidP="007B65AB">
      <w:pPr>
        <w:rPr>
          <w:highlight w:val="yellow"/>
        </w:rPr>
      </w:pPr>
    </w:p>
    <w:p w14:paraId="5D64E2D7" w14:textId="511A38D1" w:rsidR="00B807BF" w:rsidRPr="00553BBC" w:rsidRDefault="00B807BF" w:rsidP="007B65AB">
      <w:r w:rsidRPr="00553BBC">
        <w:t>If a colleague feels it will be difficult for them to stick within the subs</w:t>
      </w:r>
      <w:r w:rsidR="009F1C57" w:rsidRPr="00553BBC">
        <w:t>is</w:t>
      </w:r>
      <w:r w:rsidRPr="00553BBC">
        <w:t xml:space="preserve">tence rates during their travel, they should contact the operations team </w:t>
      </w:r>
      <w:r w:rsidR="009F1C57" w:rsidRPr="00553BBC">
        <w:t xml:space="preserve">prior to travel </w:t>
      </w:r>
      <w:r w:rsidRPr="00553BBC">
        <w:t xml:space="preserve">to discuss </w:t>
      </w:r>
      <w:r w:rsidR="009F1C57" w:rsidRPr="00553BBC">
        <w:t xml:space="preserve">whether an exception can be applied. </w:t>
      </w:r>
      <w:r w:rsidR="00AB2D73" w:rsidRPr="00F53E68">
        <w:rPr>
          <w:b/>
          <w:bCs/>
        </w:rPr>
        <w:t>This must be done prior to travel</w:t>
      </w:r>
      <w:r w:rsidR="0079116B">
        <w:rPr>
          <w:b/>
          <w:bCs/>
        </w:rPr>
        <w:t xml:space="preserve"> and with sufficient justification in order to meet audit requirements</w:t>
      </w:r>
      <w:r w:rsidR="00AB2D73" w:rsidRPr="00F53E68">
        <w:rPr>
          <w:b/>
          <w:bCs/>
        </w:rPr>
        <w:t>.</w:t>
      </w:r>
      <w:r w:rsidR="00AB2D73">
        <w:t xml:space="preserve"> </w:t>
      </w:r>
    </w:p>
    <w:p w14:paraId="3A62C0F1" w14:textId="08E9BB5C" w:rsidR="009D636A" w:rsidRPr="00B807BF" w:rsidRDefault="00B807BF">
      <w:pPr>
        <w:rPr>
          <w:b/>
          <w:bCs/>
        </w:rPr>
      </w:pPr>
      <w:r w:rsidRPr="00B807BF">
        <w:rPr>
          <w:b/>
          <w:bCs/>
        </w:rPr>
        <w:t xml:space="preserve">Mileage </w:t>
      </w:r>
    </w:p>
    <w:p w14:paraId="45A1BF00" w14:textId="77777777" w:rsidR="007B65AB" w:rsidRDefault="007B65AB" w:rsidP="007B65AB">
      <w:r w:rsidRPr="0043427F">
        <w:t>Where the use of a private vehicle has been agreed a mileage rate can be claimed for the Business journey element of any trip. Business travel means journeys which employees make to or from a place they have to attend in the performance of their duties but not any travel from home to a University site.</w:t>
      </w:r>
      <w:r>
        <w:t xml:space="preserve"> </w:t>
      </w:r>
      <w:hyperlink r:id="rId15" w:history="1">
        <w:r w:rsidRPr="001A4E3B">
          <w:rPr>
            <w:rStyle w:val="Hyperlink"/>
          </w:rPr>
          <w:t>https://www.expenses.admin.cam.ac.uk/expense-rates/mileage-rates</w:t>
        </w:r>
      </w:hyperlink>
      <w:r>
        <w:t xml:space="preserve"> </w:t>
      </w:r>
    </w:p>
    <w:p w14:paraId="5A947A43" w14:textId="77777777" w:rsidR="007B65AB" w:rsidRPr="007B65AB" w:rsidRDefault="007B65AB" w:rsidP="007B65AB">
      <w:r w:rsidRPr="007B65AB">
        <w:t>The use of taxis should only be contemplated for business travel where:</w:t>
      </w:r>
    </w:p>
    <w:p w14:paraId="0D233EE0" w14:textId="77777777" w:rsidR="007B65AB" w:rsidRPr="007B65AB" w:rsidRDefault="007B65AB" w:rsidP="007B65AB">
      <w:pPr>
        <w:numPr>
          <w:ilvl w:val="0"/>
          <w:numId w:val="4"/>
        </w:numPr>
      </w:pPr>
      <w:r w:rsidRPr="007B65AB">
        <w:t>there is no suitable public transport alternative for short journeys; or</w:t>
      </w:r>
    </w:p>
    <w:p w14:paraId="1C2FC562" w14:textId="77777777" w:rsidR="007B65AB" w:rsidRPr="007B65AB" w:rsidRDefault="007B65AB" w:rsidP="007B65AB">
      <w:pPr>
        <w:numPr>
          <w:ilvl w:val="0"/>
          <w:numId w:val="4"/>
        </w:numPr>
      </w:pPr>
      <w:r w:rsidRPr="007B65AB">
        <w:t>there a number of employees travelling together and the use of a taxi is cheaper than public transport; or</w:t>
      </w:r>
    </w:p>
    <w:p w14:paraId="6FB4084E" w14:textId="77777777" w:rsidR="007B65AB" w:rsidRPr="007B65AB" w:rsidRDefault="007B65AB" w:rsidP="007B65AB">
      <w:pPr>
        <w:numPr>
          <w:ilvl w:val="0"/>
          <w:numId w:val="4"/>
        </w:numPr>
      </w:pPr>
      <w:r w:rsidRPr="007B65AB">
        <w:t>the use of public transport is not a viable option due to carrying large, heavy or valuable items.</w:t>
      </w:r>
    </w:p>
    <w:p w14:paraId="253A9A53" w14:textId="77777777" w:rsidR="0043427F" w:rsidRDefault="0043427F"/>
    <w:sectPr w:rsidR="0043427F">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FA8AD" w14:textId="77777777" w:rsidR="007269BE" w:rsidRDefault="007269BE" w:rsidP="007269BE">
      <w:pPr>
        <w:spacing w:after="0" w:line="240" w:lineRule="auto"/>
      </w:pPr>
      <w:r>
        <w:separator/>
      </w:r>
    </w:p>
  </w:endnote>
  <w:endnote w:type="continuationSeparator" w:id="0">
    <w:p w14:paraId="0039F74B" w14:textId="77777777" w:rsidR="007269BE" w:rsidRDefault="007269BE" w:rsidP="0072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97C8" w14:textId="27EE596E" w:rsidR="007269BE" w:rsidRDefault="007269BE">
    <w:pPr>
      <w:pStyle w:val="Footer"/>
    </w:pPr>
    <w:r>
      <w:t xml:space="preserve">Last Updated </w:t>
    </w:r>
    <w:r w:rsidR="00F53E68">
      <w:t>20.01.2023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8254" w14:textId="77777777" w:rsidR="007269BE" w:rsidRDefault="007269BE" w:rsidP="007269BE">
      <w:pPr>
        <w:spacing w:after="0" w:line="240" w:lineRule="auto"/>
      </w:pPr>
      <w:r>
        <w:separator/>
      </w:r>
    </w:p>
  </w:footnote>
  <w:footnote w:type="continuationSeparator" w:id="0">
    <w:p w14:paraId="0D4A0164" w14:textId="77777777" w:rsidR="007269BE" w:rsidRDefault="007269BE" w:rsidP="00726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C3918"/>
    <w:multiLevelType w:val="hybridMultilevel"/>
    <w:tmpl w:val="3F5E6B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FC467DD"/>
    <w:multiLevelType w:val="hybridMultilevel"/>
    <w:tmpl w:val="C380BD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B77268"/>
    <w:multiLevelType w:val="multilevel"/>
    <w:tmpl w:val="AA6EAB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525918"/>
    <w:multiLevelType w:val="multilevel"/>
    <w:tmpl w:val="7E761AE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B62DC"/>
    <w:multiLevelType w:val="multilevel"/>
    <w:tmpl w:val="DE8090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36A"/>
    <w:rsid w:val="00051BFC"/>
    <w:rsid w:val="000E2F0F"/>
    <w:rsid w:val="0023170C"/>
    <w:rsid w:val="002D44DB"/>
    <w:rsid w:val="0034009A"/>
    <w:rsid w:val="003D2C7A"/>
    <w:rsid w:val="0043427F"/>
    <w:rsid w:val="00491BE2"/>
    <w:rsid w:val="00553BBC"/>
    <w:rsid w:val="007269BE"/>
    <w:rsid w:val="007535D1"/>
    <w:rsid w:val="0079116B"/>
    <w:rsid w:val="007B65AB"/>
    <w:rsid w:val="008159DF"/>
    <w:rsid w:val="00862454"/>
    <w:rsid w:val="0096705D"/>
    <w:rsid w:val="009D636A"/>
    <w:rsid w:val="009F1C57"/>
    <w:rsid w:val="00AB2D73"/>
    <w:rsid w:val="00B807BF"/>
    <w:rsid w:val="00C60F33"/>
    <w:rsid w:val="00EF601F"/>
    <w:rsid w:val="00F45D47"/>
    <w:rsid w:val="00F53E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F0C5204"/>
  <w15:chartTrackingRefBased/>
  <w15:docId w15:val="{0D7DC3BE-C02B-41BF-AA12-4131AEB4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36A"/>
    <w:pPr>
      <w:ind w:left="720"/>
      <w:contextualSpacing/>
    </w:pPr>
  </w:style>
  <w:style w:type="character" w:styleId="Hyperlink">
    <w:name w:val="Hyperlink"/>
    <w:basedOn w:val="DefaultParagraphFont"/>
    <w:uiPriority w:val="99"/>
    <w:unhideWhenUsed/>
    <w:rsid w:val="009D636A"/>
    <w:rPr>
      <w:color w:val="0563C1" w:themeColor="hyperlink"/>
      <w:u w:val="single"/>
    </w:rPr>
  </w:style>
  <w:style w:type="character" w:styleId="UnresolvedMention">
    <w:name w:val="Unresolved Mention"/>
    <w:basedOn w:val="DefaultParagraphFont"/>
    <w:uiPriority w:val="99"/>
    <w:semiHidden/>
    <w:unhideWhenUsed/>
    <w:rsid w:val="009D636A"/>
    <w:rPr>
      <w:color w:val="605E5C"/>
      <w:shd w:val="clear" w:color="auto" w:fill="E1DFDD"/>
    </w:rPr>
  </w:style>
  <w:style w:type="paragraph" w:styleId="NoSpacing">
    <w:name w:val="No Spacing"/>
    <w:uiPriority w:val="1"/>
    <w:qFormat/>
    <w:rsid w:val="0043427F"/>
    <w:pPr>
      <w:spacing w:after="0" w:line="240" w:lineRule="auto"/>
    </w:pPr>
  </w:style>
  <w:style w:type="paragraph" w:styleId="NormalWeb">
    <w:name w:val="Normal (Web)"/>
    <w:basedOn w:val="Normal"/>
    <w:uiPriority w:val="99"/>
    <w:semiHidden/>
    <w:unhideWhenUsed/>
    <w:rsid w:val="007B65AB"/>
    <w:rPr>
      <w:rFonts w:ascii="Times New Roman" w:hAnsi="Times New Roman" w:cs="Times New Roman"/>
      <w:sz w:val="24"/>
      <w:szCs w:val="24"/>
    </w:rPr>
  </w:style>
  <w:style w:type="table" w:styleId="TableGrid">
    <w:name w:val="Table Grid"/>
    <w:basedOn w:val="TableNormal"/>
    <w:uiPriority w:val="39"/>
    <w:rsid w:val="00B80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69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9BE"/>
  </w:style>
  <w:style w:type="paragraph" w:styleId="Footer">
    <w:name w:val="footer"/>
    <w:basedOn w:val="Normal"/>
    <w:link w:val="FooterChar"/>
    <w:uiPriority w:val="99"/>
    <w:unhideWhenUsed/>
    <w:rsid w:val="007269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9BE"/>
  </w:style>
  <w:style w:type="character" w:styleId="FollowedHyperlink">
    <w:name w:val="FollowedHyperlink"/>
    <w:basedOn w:val="DefaultParagraphFont"/>
    <w:uiPriority w:val="99"/>
    <w:semiHidden/>
    <w:unhideWhenUsed/>
    <w:rsid w:val="00491B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4194">
      <w:bodyDiv w:val="1"/>
      <w:marLeft w:val="0"/>
      <w:marRight w:val="0"/>
      <w:marTop w:val="0"/>
      <w:marBottom w:val="0"/>
      <w:divBdr>
        <w:top w:val="none" w:sz="0" w:space="0" w:color="auto"/>
        <w:left w:val="none" w:sz="0" w:space="0" w:color="auto"/>
        <w:bottom w:val="none" w:sz="0" w:space="0" w:color="auto"/>
        <w:right w:val="none" w:sz="0" w:space="0" w:color="auto"/>
      </w:divBdr>
    </w:div>
    <w:div w:id="125317519">
      <w:bodyDiv w:val="1"/>
      <w:marLeft w:val="0"/>
      <w:marRight w:val="0"/>
      <w:marTop w:val="0"/>
      <w:marBottom w:val="0"/>
      <w:divBdr>
        <w:top w:val="none" w:sz="0" w:space="0" w:color="auto"/>
        <w:left w:val="none" w:sz="0" w:space="0" w:color="auto"/>
        <w:bottom w:val="none" w:sz="0" w:space="0" w:color="auto"/>
        <w:right w:val="none" w:sz="0" w:space="0" w:color="auto"/>
      </w:divBdr>
    </w:div>
    <w:div w:id="208222015">
      <w:bodyDiv w:val="1"/>
      <w:marLeft w:val="0"/>
      <w:marRight w:val="0"/>
      <w:marTop w:val="0"/>
      <w:marBottom w:val="0"/>
      <w:divBdr>
        <w:top w:val="none" w:sz="0" w:space="0" w:color="auto"/>
        <w:left w:val="none" w:sz="0" w:space="0" w:color="auto"/>
        <w:bottom w:val="none" w:sz="0" w:space="0" w:color="auto"/>
        <w:right w:val="none" w:sz="0" w:space="0" w:color="auto"/>
      </w:divBdr>
    </w:div>
    <w:div w:id="208882640">
      <w:bodyDiv w:val="1"/>
      <w:marLeft w:val="0"/>
      <w:marRight w:val="0"/>
      <w:marTop w:val="0"/>
      <w:marBottom w:val="0"/>
      <w:divBdr>
        <w:top w:val="none" w:sz="0" w:space="0" w:color="auto"/>
        <w:left w:val="none" w:sz="0" w:space="0" w:color="auto"/>
        <w:bottom w:val="none" w:sz="0" w:space="0" w:color="auto"/>
        <w:right w:val="none" w:sz="0" w:space="0" w:color="auto"/>
      </w:divBdr>
    </w:div>
    <w:div w:id="210964300">
      <w:bodyDiv w:val="1"/>
      <w:marLeft w:val="0"/>
      <w:marRight w:val="0"/>
      <w:marTop w:val="0"/>
      <w:marBottom w:val="0"/>
      <w:divBdr>
        <w:top w:val="none" w:sz="0" w:space="0" w:color="auto"/>
        <w:left w:val="none" w:sz="0" w:space="0" w:color="auto"/>
        <w:bottom w:val="none" w:sz="0" w:space="0" w:color="auto"/>
        <w:right w:val="none" w:sz="0" w:space="0" w:color="auto"/>
      </w:divBdr>
    </w:div>
    <w:div w:id="479201114">
      <w:bodyDiv w:val="1"/>
      <w:marLeft w:val="0"/>
      <w:marRight w:val="0"/>
      <w:marTop w:val="0"/>
      <w:marBottom w:val="0"/>
      <w:divBdr>
        <w:top w:val="none" w:sz="0" w:space="0" w:color="auto"/>
        <w:left w:val="none" w:sz="0" w:space="0" w:color="auto"/>
        <w:bottom w:val="none" w:sz="0" w:space="0" w:color="auto"/>
        <w:right w:val="none" w:sz="0" w:space="0" w:color="auto"/>
      </w:divBdr>
    </w:div>
    <w:div w:id="603877195">
      <w:bodyDiv w:val="1"/>
      <w:marLeft w:val="0"/>
      <w:marRight w:val="0"/>
      <w:marTop w:val="0"/>
      <w:marBottom w:val="0"/>
      <w:divBdr>
        <w:top w:val="none" w:sz="0" w:space="0" w:color="auto"/>
        <w:left w:val="none" w:sz="0" w:space="0" w:color="auto"/>
        <w:bottom w:val="none" w:sz="0" w:space="0" w:color="auto"/>
        <w:right w:val="none" w:sz="0" w:space="0" w:color="auto"/>
      </w:divBdr>
    </w:div>
    <w:div w:id="712510367">
      <w:bodyDiv w:val="1"/>
      <w:marLeft w:val="0"/>
      <w:marRight w:val="0"/>
      <w:marTop w:val="0"/>
      <w:marBottom w:val="0"/>
      <w:divBdr>
        <w:top w:val="none" w:sz="0" w:space="0" w:color="auto"/>
        <w:left w:val="none" w:sz="0" w:space="0" w:color="auto"/>
        <w:bottom w:val="none" w:sz="0" w:space="0" w:color="auto"/>
        <w:right w:val="none" w:sz="0" w:space="0" w:color="auto"/>
      </w:divBdr>
    </w:div>
    <w:div w:id="712996409">
      <w:bodyDiv w:val="1"/>
      <w:marLeft w:val="0"/>
      <w:marRight w:val="0"/>
      <w:marTop w:val="0"/>
      <w:marBottom w:val="0"/>
      <w:divBdr>
        <w:top w:val="none" w:sz="0" w:space="0" w:color="auto"/>
        <w:left w:val="none" w:sz="0" w:space="0" w:color="auto"/>
        <w:bottom w:val="none" w:sz="0" w:space="0" w:color="auto"/>
        <w:right w:val="none" w:sz="0" w:space="0" w:color="auto"/>
      </w:divBdr>
    </w:div>
    <w:div w:id="806821180">
      <w:bodyDiv w:val="1"/>
      <w:marLeft w:val="0"/>
      <w:marRight w:val="0"/>
      <w:marTop w:val="0"/>
      <w:marBottom w:val="0"/>
      <w:divBdr>
        <w:top w:val="none" w:sz="0" w:space="0" w:color="auto"/>
        <w:left w:val="none" w:sz="0" w:space="0" w:color="auto"/>
        <w:bottom w:val="none" w:sz="0" w:space="0" w:color="auto"/>
        <w:right w:val="none" w:sz="0" w:space="0" w:color="auto"/>
      </w:divBdr>
    </w:div>
    <w:div w:id="959072316">
      <w:bodyDiv w:val="1"/>
      <w:marLeft w:val="0"/>
      <w:marRight w:val="0"/>
      <w:marTop w:val="0"/>
      <w:marBottom w:val="0"/>
      <w:divBdr>
        <w:top w:val="none" w:sz="0" w:space="0" w:color="auto"/>
        <w:left w:val="none" w:sz="0" w:space="0" w:color="auto"/>
        <w:bottom w:val="none" w:sz="0" w:space="0" w:color="auto"/>
        <w:right w:val="none" w:sz="0" w:space="0" w:color="auto"/>
      </w:divBdr>
    </w:div>
    <w:div w:id="1022970983">
      <w:bodyDiv w:val="1"/>
      <w:marLeft w:val="0"/>
      <w:marRight w:val="0"/>
      <w:marTop w:val="0"/>
      <w:marBottom w:val="0"/>
      <w:divBdr>
        <w:top w:val="none" w:sz="0" w:space="0" w:color="auto"/>
        <w:left w:val="none" w:sz="0" w:space="0" w:color="auto"/>
        <w:bottom w:val="none" w:sz="0" w:space="0" w:color="auto"/>
        <w:right w:val="none" w:sz="0" w:space="0" w:color="auto"/>
      </w:divBdr>
    </w:div>
    <w:div w:id="1036203401">
      <w:bodyDiv w:val="1"/>
      <w:marLeft w:val="0"/>
      <w:marRight w:val="0"/>
      <w:marTop w:val="0"/>
      <w:marBottom w:val="0"/>
      <w:divBdr>
        <w:top w:val="none" w:sz="0" w:space="0" w:color="auto"/>
        <w:left w:val="none" w:sz="0" w:space="0" w:color="auto"/>
        <w:bottom w:val="none" w:sz="0" w:space="0" w:color="auto"/>
        <w:right w:val="none" w:sz="0" w:space="0" w:color="auto"/>
      </w:divBdr>
    </w:div>
    <w:div w:id="1122116855">
      <w:bodyDiv w:val="1"/>
      <w:marLeft w:val="0"/>
      <w:marRight w:val="0"/>
      <w:marTop w:val="0"/>
      <w:marBottom w:val="0"/>
      <w:divBdr>
        <w:top w:val="none" w:sz="0" w:space="0" w:color="auto"/>
        <w:left w:val="none" w:sz="0" w:space="0" w:color="auto"/>
        <w:bottom w:val="none" w:sz="0" w:space="0" w:color="auto"/>
        <w:right w:val="none" w:sz="0" w:space="0" w:color="auto"/>
      </w:divBdr>
    </w:div>
    <w:div w:id="1128815995">
      <w:bodyDiv w:val="1"/>
      <w:marLeft w:val="0"/>
      <w:marRight w:val="0"/>
      <w:marTop w:val="0"/>
      <w:marBottom w:val="0"/>
      <w:divBdr>
        <w:top w:val="none" w:sz="0" w:space="0" w:color="auto"/>
        <w:left w:val="none" w:sz="0" w:space="0" w:color="auto"/>
        <w:bottom w:val="none" w:sz="0" w:space="0" w:color="auto"/>
        <w:right w:val="none" w:sz="0" w:space="0" w:color="auto"/>
      </w:divBdr>
    </w:div>
    <w:div w:id="1229417329">
      <w:bodyDiv w:val="1"/>
      <w:marLeft w:val="0"/>
      <w:marRight w:val="0"/>
      <w:marTop w:val="0"/>
      <w:marBottom w:val="0"/>
      <w:divBdr>
        <w:top w:val="none" w:sz="0" w:space="0" w:color="auto"/>
        <w:left w:val="none" w:sz="0" w:space="0" w:color="auto"/>
        <w:bottom w:val="none" w:sz="0" w:space="0" w:color="auto"/>
        <w:right w:val="none" w:sz="0" w:space="0" w:color="auto"/>
      </w:divBdr>
    </w:div>
    <w:div w:id="1376076284">
      <w:bodyDiv w:val="1"/>
      <w:marLeft w:val="0"/>
      <w:marRight w:val="0"/>
      <w:marTop w:val="0"/>
      <w:marBottom w:val="0"/>
      <w:divBdr>
        <w:top w:val="none" w:sz="0" w:space="0" w:color="auto"/>
        <w:left w:val="none" w:sz="0" w:space="0" w:color="auto"/>
        <w:bottom w:val="none" w:sz="0" w:space="0" w:color="auto"/>
        <w:right w:val="none" w:sz="0" w:space="0" w:color="auto"/>
      </w:divBdr>
    </w:div>
    <w:div w:id="1466267696">
      <w:bodyDiv w:val="1"/>
      <w:marLeft w:val="0"/>
      <w:marRight w:val="0"/>
      <w:marTop w:val="0"/>
      <w:marBottom w:val="0"/>
      <w:divBdr>
        <w:top w:val="none" w:sz="0" w:space="0" w:color="auto"/>
        <w:left w:val="none" w:sz="0" w:space="0" w:color="auto"/>
        <w:bottom w:val="none" w:sz="0" w:space="0" w:color="auto"/>
        <w:right w:val="none" w:sz="0" w:space="0" w:color="auto"/>
      </w:divBdr>
    </w:div>
    <w:div w:id="1479150950">
      <w:bodyDiv w:val="1"/>
      <w:marLeft w:val="0"/>
      <w:marRight w:val="0"/>
      <w:marTop w:val="0"/>
      <w:marBottom w:val="0"/>
      <w:divBdr>
        <w:top w:val="none" w:sz="0" w:space="0" w:color="auto"/>
        <w:left w:val="none" w:sz="0" w:space="0" w:color="auto"/>
        <w:bottom w:val="none" w:sz="0" w:space="0" w:color="auto"/>
        <w:right w:val="none" w:sz="0" w:space="0" w:color="auto"/>
      </w:divBdr>
    </w:div>
    <w:div w:id="1542325978">
      <w:bodyDiv w:val="1"/>
      <w:marLeft w:val="0"/>
      <w:marRight w:val="0"/>
      <w:marTop w:val="0"/>
      <w:marBottom w:val="0"/>
      <w:divBdr>
        <w:top w:val="none" w:sz="0" w:space="0" w:color="auto"/>
        <w:left w:val="none" w:sz="0" w:space="0" w:color="auto"/>
        <w:bottom w:val="none" w:sz="0" w:space="0" w:color="auto"/>
        <w:right w:val="none" w:sz="0" w:space="0" w:color="auto"/>
      </w:divBdr>
    </w:div>
    <w:div w:id="1666474850">
      <w:bodyDiv w:val="1"/>
      <w:marLeft w:val="0"/>
      <w:marRight w:val="0"/>
      <w:marTop w:val="0"/>
      <w:marBottom w:val="0"/>
      <w:divBdr>
        <w:top w:val="none" w:sz="0" w:space="0" w:color="auto"/>
        <w:left w:val="none" w:sz="0" w:space="0" w:color="auto"/>
        <w:bottom w:val="none" w:sz="0" w:space="0" w:color="auto"/>
        <w:right w:val="none" w:sz="0" w:space="0" w:color="auto"/>
      </w:divBdr>
    </w:div>
    <w:div w:id="1725909206">
      <w:bodyDiv w:val="1"/>
      <w:marLeft w:val="0"/>
      <w:marRight w:val="0"/>
      <w:marTop w:val="0"/>
      <w:marBottom w:val="0"/>
      <w:divBdr>
        <w:top w:val="none" w:sz="0" w:space="0" w:color="auto"/>
        <w:left w:val="none" w:sz="0" w:space="0" w:color="auto"/>
        <w:bottom w:val="none" w:sz="0" w:space="0" w:color="auto"/>
        <w:right w:val="none" w:sz="0" w:space="0" w:color="auto"/>
      </w:divBdr>
    </w:div>
    <w:div w:id="172772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vironment.admin.cam.ac.uk/files/guidelines_for_sustainable_business_travel_approved.pdf" TargetMode="External"/><Relationship Id="rId13" Type="http://schemas.openxmlformats.org/officeDocument/2006/relationships/hyperlink" Target="https://eu2.concursolutions.com/home.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nance.admin.cam.ac.uk/policy-and-procedures/financial-procedures/chapter-5b-expenses-benefits/travel-university-4" TargetMode="External"/><Relationship Id="rId12" Type="http://schemas.openxmlformats.org/officeDocument/2006/relationships/hyperlink" Target="https://intranet.phpc.cam.ac.uk/human-resources/trav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velcert.ajg.com/" TargetMode="External"/><Relationship Id="rId5" Type="http://schemas.openxmlformats.org/officeDocument/2006/relationships/footnotes" Target="footnotes.xml"/><Relationship Id="rId15" Type="http://schemas.openxmlformats.org/officeDocument/2006/relationships/hyperlink" Target="https://www.expenses.admin.cam.ac.uk/expense-rates/mileage-rates" TargetMode="External"/><Relationship Id="rId10" Type="http://schemas.openxmlformats.org/officeDocument/2006/relationships/hyperlink" Target="mailto:ts860@medschl.cam.ac.uk" TargetMode="External"/><Relationship Id="rId4" Type="http://schemas.openxmlformats.org/officeDocument/2006/relationships/webSettings" Target="webSettings.xml"/><Relationship Id="rId9" Type="http://schemas.openxmlformats.org/officeDocument/2006/relationships/hyperlink" Target="https://www.environment.admin.cam.ac.uk/carbon-offsetting" TargetMode="External"/><Relationship Id="rId14" Type="http://schemas.openxmlformats.org/officeDocument/2006/relationships/hyperlink" Target="https://www.finance.admin.cam.ac.uk/expense-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1082</Words>
  <Characters>6170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Sabri</dc:creator>
  <cp:keywords/>
  <dc:description/>
  <cp:lastModifiedBy>Tamara Sabri</cp:lastModifiedBy>
  <cp:revision>3</cp:revision>
  <dcterms:created xsi:type="dcterms:W3CDTF">2023-01-20T15:58:00Z</dcterms:created>
  <dcterms:modified xsi:type="dcterms:W3CDTF">2023-01-20T15:59:00Z</dcterms:modified>
</cp:coreProperties>
</file>