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ED7DDF" w:rsidRDefault="005F6105" w:rsidP="009A55E3">
      <w:pPr>
        <w:pStyle w:val="PartTitle"/>
        <w:framePr w:w="2805" w:wrap="notBeside" w:hAnchor="page" w:x="8469"/>
        <w:shd w:val="clear" w:color="auto" w:fill="C00000"/>
        <w:jc w:val="left"/>
      </w:pPr>
      <w:r w:rsidRPr="00ED7DDF">
        <w:t>Volume</w:t>
      </w:r>
    </w:p>
    <w:p w:rsidR="005F6105" w:rsidRPr="00ED7DDF" w:rsidRDefault="00E8776E" w:rsidP="009A55E3">
      <w:pPr>
        <w:pStyle w:val="PartLabel"/>
        <w:framePr w:w="2805" w:wrap="notBeside" w:hAnchor="page" w:x="8469"/>
        <w:shd w:val="clear" w:color="auto" w:fill="C00000"/>
        <w:spacing w:before="100" w:beforeAutospacing="1" w:line="120" w:lineRule="auto"/>
        <w:jc w:val="left"/>
        <w:rPr>
          <w:sz w:val="44"/>
        </w:rPr>
      </w:pPr>
      <w:bookmarkStart w:id="0" w:name="_GoBack"/>
      <w:r>
        <w:rPr>
          <w:sz w:val="44"/>
        </w:rPr>
        <w:t>3.2.1.31379</w:t>
      </w:r>
    </w:p>
    <w:bookmarkEnd w:id="0"/>
    <w:p w:rsidR="005F6105" w:rsidRPr="00ED7DDF" w:rsidRDefault="00E8776E" w:rsidP="00FD4998">
      <w:pPr>
        <w:pStyle w:val="CompanyName"/>
      </w:pPr>
      <w:r>
        <w:t>CREation d’un support bootable</w:t>
      </w:r>
    </w:p>
    <w:p w:rsidR="005F6105" w:rsidRPr="00ED7DDF" w:rsidRDefault="00E8776E" w:rsidP="00FD4998">
      <w:pPr>
        <w:pStyle w:val="SubtitleCover"/>
        <w:rPr>
          <w:sz w:val="38"/>
          <w:szCs w:val="38"/>
        </w:rPr>
      </w:pPr>
      <w:r>
        <w:rPr>
          <w:sz w:val="38"/>
          <w:szCs w:val="38"/>
        </w:rPr>
        <w:t>DISQUE DUR USB OU CLE USB</w:t>
      </w:r>
      <w:r w:rsidR="00ED7DDF" w:rsidRPr="00ED7DDF">
        <w:rPr>
          <w:sz w:val="38"/>
          <w:szCs w:val="38"/>
        </w:rPr>
        <w:t xml:space="preserve"> </w:t>
      </w:r>
    </w:p>
    <w:p w:rsidR="00ED7DDF" w:rsidRPr="00CB201E" w:rsidRDefault="00ED7DDF" w:rsidP="00FD4998">
      <w:pPr>
        <w:pStyle w:val="TitleCover"/>
        <w:shd w:val="clear" w:color="auto" w:fill="C00000"/>
        <w:jc w:val="left"/>
        <w:rPr>
          <w:spacing w:val="-100"/>
        </w:rPr>
        <w:sectPr w:rsidR="00ED7DDF" w:rsidRPr="00CB201E" w:rsidSect="007A3843">
          <w:footerReference w:type="even" r:id="rId8"/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ED7DDF">
        <w:rPr>
          <w:spacing w:val="-100"/>
        </w:rPr>
        <w:t xml:space="preserve">Utilisation de l’outil </w:t>
      </w:r>
      <w:proofErr w:type="spellStart"/>
      <w:r w:rsidR="00E8776E">
        <w:rPr>
          <w:spacing w:val="-100"/>
        </w:rPr>
        <w:t>USBCreator</w:t>
      </w:r>
      <w:proofErr w:type="spellEnd"/>
    </w:p>
    <w:p w:rsidR="005F6105" w:rsidRDefault="005F6105" w:rsidP="00FD4998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ED7DDF" w:rsidP="00FD4998">
      <w:pPr>
        <w:pStyle w:val="ChapterTitle"/>
      </w:pPr>
      <w:r>
        <w:t>Introduction</w:t>
      </w:r>
    </w:p>
    <w:p w:rsidR="005F6105" w:rsidRDefault="00ED7DDF" w:rsidP="00FD4998">
      <w:pPr>
        <w:pStyle w:val="Corpsdetexte"/>
        <w:jc w:val="left"/>
      </w:pPr>
      <w:r>
        <w:t xml:space="preserve">Ce programme va servir dans le cadre </w:t>
      </w:r>
      <w:r w:rsidR="00E8776E">
        <w:t>de la préparation d’un support USB bootable avec un master ou une ISO Microsoft</w:t>
      </w:r>
      <w:r>
        <w:t>.</w:t>
      </w:r>
    </w:p>
    <w:p w:rsidR="00F01E40" w:rsidRDefault="00E8776E" w:rsidP="00FD4998">
      <w:pPr>
        <w:pStyle w:val="Corpsdetexte"/>
        <w:jc w:val="left"/>
      </w:pPr>
      <w:r>
        <w:t xml:space="preserve">Il va aussi vous permettre de préparer un disque dur </w:t>
      </w:r>
      <w:proofErr w:type="spellStart"/>
      <w:r>
        <w:t>usb</w:t>
      </w:r>
      <w:proofErr w:type="spellEnd"/>
      <w:r>
        <w:t xml:space="preserve"> avec deux partitions pour installer Microsoft Windows 10</w:t>
      </w:r>
      <w:r w:rsidR="00F01E40">
        <w:t>.</w:t>
      </w:r>
      <w:r>
        <w:t xml:space="preserve"> Cette structure </w:t>
      </w:r>
      <w:proofErr w:type="gramStart"/>
      <w:r>
        <w:t>peux</w:t>
      </w:r>
      <w:proofErr w:type="gramEnd"/>
      <w:r>
        <w:t xml:space="preserve"> aussi permettre d’installer Microsoft Windows 7 sur des postes en bootant depuis un périphérique USB. En LEGACY pour Windows 7 et en UEFI pour Windows 10.</w:t>
      </w:r>
    </w:p>
    <w:p w:rsidR="00814FAF" w:rsidRDefault="00814FAF" w:rsidP="00FD4998">
      <w:pPr>
        <w:pStyle w:val="Corpsdetexte"/>
        <w:jc w:val="left"/>
      </w:pPr>
      <w:r>
        <w:t xml:space="preserve">Il est développé en C# et nécessite d’avoir le </w:t>
      </w:r>
      <w:proofErr w:type="spellStart"/>
      <w:r>
        <w:t>FrameWork</w:t>
      </w:r>
      <w:proofErr w:type="spellEnd"/>
      <w:r>
        <w:t xml:space="preserve"> 4.5.2 d’installé sur votre poste.</w:t>
      </w:r>
    </w:p>
    <w:p w:rsidR="00DC1EFF" w:rsidRDefault="00DC1EFF" w:rsidP="00FD4998">
      <w:pPr>
        <w:pStyle w:val="Corpsdetexte"/>
        <w:jc w:val="left"/>
      </w:pPr>
      <w:r>
        <w:t xml:space="preserve">Lors du chargement vous verrez un </w:t>
      </w:r>
      <w:proofErr w:type="spellStart"/>
      <w:r>
        <w:t>splashscreen</w:t>
      </w:r>
      <w:proofErr w:type="spellEnd"/>
      <w:r>
        <w:t xml:space="preserve"> pour vous indiquer que l’exécution est bien en cours.</w:t>
      </w:r>
    </w:p>
    <w:p w:rsidR="00DC1EFF" w:rsidRDefault="00E8776E" w:rsidP="008708A0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6161905" cy="28285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ash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F" w:rsidRDefault="00DC1EFF" w:rsidP="00FD4998">
      <w:pPr>
        <w:pStyle w:val="Corpsdetexte"/>
        <w:jc w:val="left"/>
      </w:pPr>
      <w:r>
        <w:t xml:space="preserve">Lorsque le chargement des différentes informations sera </w:t>
      </w:r>
      <w:r w:rsidR="008708A0">
        <w:t>terminé</w:t>
      </w:r>
      <w:r>
        <w:t>, vous verrez l’interface suivante :</w:t>
      </w:r>
    </w:p>
    <w:p w:rsidR="00814FAF" w:rsidRDefault="00E8776E" w:rsidP="00E8776E">
      <w:pPr>
        <w:pStyle w:val="Corpsdetexte"/>
        <w:jc w:val="center"/>
      </w:pPr>
      <w:r>
        <w:rPr>
          <w:noProof/>
        </w:rPr>
        <w:lastRenderedPageBreak/>
        <w:drawing>
          <wp:inline distT="0" distB="0" distL="0" distR="0">
            <wp:extent cx="4676190" cy="62761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bcre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F" w:rsidRDefault="00E8776E" w:rsidP="00FD4998">
      <w:pPr>
        <w:pStyle w:val="Corpsdetexte"/>
        <w:jc w:val="left"/>
      </w:pPr>
      <w:r>
        <w:t>Voici la description des différents points de l’image</w:t>
      </w:r>
      <w:r w:rsidR="00814FAF">
        <w:t> :</w:t>
      </w:r>
    </w:p>
    <w:p w:rsidR="00814FAF" w:rsidRDefault="00E8776E" w:rsidP="00E8776E">
      <w:pPr>
        <w:pStyle w:val="Corpsdetexte"/>
        <w:numPr>
          <w:ilvl w:val="0"/>
          <w:numId w:val="37"/>
        </w:numPr>
        <w:jc w:val="left"/>
      </w:pPr>
      <w:r>
        <w:t>Ce logiciel est compatible Windows 7 et Windows 10.</w:t>
      </w:r>
      <w:r>
        <w:br/>
        <w:t xml:space="preserve">Pour Windows 7 il y est nécessaire d’utiliser un outil tiers, </w:t>
      </w:r>
      <w:r w:rsidRPr="00E8776E">
        <w:t>WinCDEmu.exe</w:t>
      </w:r>
      <w:r>
        <w:t xml:space="preserve"> qui doit se trouver au même endroit que ce logiciel</w:t>
      </w:r>
      <w:r w:rsidR="00814FAF">
        <w:t>.</w:t>
      </w:r>
    </w:p>
    <w:p w:rsidR="00814FAF" w:rsidRDefault="00E8776E" w:rsidP="00FD4998">
      <w:pPr>
        <w:pStyle w:val="Corpsdetexte"/>
        <w:numPr>
          <w:ilvl w:val="0"/>
          <w:numId w:val="37"/>
        </w:numPr>
        <w:jc w:val="left"/>
      </w:pPr>
      <w:r>
        <w:t>Ce lien vous permet d’accéder à notre site pour télécharger les Masters</w:t>
      </w:r>
      <w:r w:rsidR="00814FAF">
        <w:t>.</w:t>
      </w:r>
    </w:p>
    <w:p w:rsidR="00FD4998" w:rsidRDefault="00E8776E" w:rsidP="00FD4998">
      <w:pPr>
        <w:pStyle w:val="Corpsdetexte"/>
        <w:numPr>
          <w:ilvl w:val="0"/>
          <w:numId w:val="37"/>
        </w:numPr>
        <w:jc w:val="left"/>
      </w:pPr>
      <w:r>
        <w:t>Ce lien vous permet de nous contacter, notamment pour un problème sur ce logiciel</w:t>
      </w:r>
      <w:r w:rsidR="00FD4998">
        <w:t>.</w:t>
      </w:r>
    </w:p>
    <w:p w:rsidR="00E8776E" w:rsidRDefault="00E8776E" w:rsidP="00FD4998">
      <w:pPr>
        <w:pStyle w:val="Corpsdetexte"/>
        <w:numPr>
          <w:ilvl w:val="0"/>
          <w:numId w:val="37"/>
        </w:numPr>
        <w:jc w:val="left"/>
      </w:pPr>
      <w:r>
        <w:lastRenderedPageBreak/>
        <w:t>La version de ce logiciel, que vous retrouvez aussi sur l’écran de démarrage.</w:t>
      </w:r>
    </w:p>
    <w:p w:rsidR="00814FAF" w:rsidRDefault="00E8776E" w:rsidP="00FD4998">
      <w:pPr>
        <w:pStyle w:val="ChapterTitle"/>
      </w:pPr>
      <w:r>
        <w:t>Préparation d’un périphérique USB</w:t>
      </w:r>
    </w:p>
    <w:p w:rsidR="00814FAF" w:rsidRDefault="00D974E2" w:rsidP="00FD4998">
      <w:pPr>
        <w:pStyle w:val="Corpsdetexte"/>
        <w:jc w:val="left"/>
      </w:pPr>
      <w:r>
        <w:t xml:space="preserve">Nous recommandons d’utiliser un disque dur USB d’un e capacité minimum de 64Go. </w:t>
      </w:r>
    </w:p>
    <w:p w:rsidR="00D974E2" w:rsidRDefault="00D974E2" w:rsidP="00FD4998">
      <w:pPr>
        <w:pStyle w:val="Corpsdetexte"/>
        <w:jc w:val="left"/>
      </w:pPr>
      <w:r>
        <w:t>Nous n’avons pas testé l’utilisation d’une clé USB en 128Go par exemple.</w:t>
      </w:r>
    </w:p>
    <w:p w:rsidR="00814FAF" w:rsidRDefault="00D974E2" w:rsidP="00B307B5">
      <w:pPr>
        <w:pStyle w:val="Corpsdetexte"/>
        <w:numPr>
          <w:ilvl w:val="0"/>
          <w:numId w:val="37"/>
        </w:numPr>
        <w:jc w:val="left"/>
      </w:pPr>
      <w:r>
        <w:t>Liste des périphériques USB avec une seule partition</w:t>
      </w:r>
      <w:r w:rsidR="00814FAF">
        <w:t>.</w:t>
      </w:r>
      <w:r>
        <w:br/>
        <w:t>Si vous sélectionnez un lecteur avec une capacité de moins de 64Go un message vous l’indiquera.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904762" cy="1447619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_usb-une-parti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F" w:rsidRDefault="00D974E2" w:rsidP="00D974E2">
      <w:pPr>
        <w:pStyle w:val="Corpsdetexte"/>
        <w:numPr>
          <w:ilvl w:val="0"/>
          <w:numId w:val="37"/>
        </w:numPr>
        <w:jc w:val="left"/>
      </w:pPr>
      <w:r>
        <w:t>Bouton permettant de rafraîchir la liste des périphériques</w:t>
      </w:r>
      <w:r w:rsidR="00814FAF">
        <w:t>.</w:t>
      </w:r>
    </w:p>
    <w:p w:rsidR="00814FAF" w:rsidRDefault="00814FAF" w:rsidP="00D974E2">
      <w:pPr>
        <w:pStyle w:val="Corpsdetexte"/>
        <w:numPr>
          <w:ilvl w:val="0"/>
          <w:numId w:val="37"/>
        </w:numPr>
        <w:jc w:val="left"/>
      </w:pPr>
      <w:r>
        <w:t xml:space="preserve">Permet </w:t>
      </w:r>
      <w:r w:rsidR="00D974E2">
        <w:t>de choisir la taille de la première partition, une taille de 4 ou 8 Go est amplement suffisant</w:t>
      </w:r>
      <w:r>
        <w:t>.</w:t>
      </w:r>
    </w:p>
    <w:p w:rsidR="00D974E2" w:rsidRDefault="00D974E2" w:rsidP="00D974E2">
      <w:pPr>
        <w:pStyle w:val="Corpsdetexte"/>
        <w:numPr>
          <w:ilvl w:val="0"/>
          <w:numId w:val="37"/>
        </w:numPr>
        <w:jc w:val="left"/>
      </w:pPr>
      <w:r>
        <w:t>Ce bouton permet d’exécuter une séquence de partitionnage sur le périphérique à l’aide de DISKPART.</w:t>
      </w:r>
    </w:p>
    <w:p w:rsidR="00EE11F4" w:rsidRDefault="00D974E2" w:rsidP="00FD4998">
      <w:pPr>
        <w:pStyle w:val="ChapterTitle"/>
      </w:pPr>
      <w:r>
        <w:t>Préparation du périphérique avec un</w:t>
      </w:r>
      <w:r w:rsidR="000153B4">
        <w:t xml:space="preserve"> </w:t>
      </w:r>
      <w:r>
        <w:t>master</w:t>
      </w:r>
    </w:p>
    <w:p w:rsidR="00814FAF" w:rsidRDefault="00EE11F4" w:rsidP="00FD4998">
      <w:pPr>
        <w:pStyle w:val="Corpsdetexte"/>
        <w:jc w:val="left"/>
      </w:pPr>
      <w:r>
        <w:t xml:space="preserve">Pour cela vous devez avoir au préalable </w:t>
      </w:r>
      <w:r w:rsidR="00D974E2">
        <w:t>préparé un disque comme précédemment</w:t>
      </w:r>
      <w:r>
        <w:t>.</w:t>
      </w:r>
    </w:p>
    <w:p w:rsidR="000303E7" w:rsidRDefault="000303E7" w:rsidP="000303E7">
      <w:pPr>
        <w:pStyle w:val="Corpsdetexte"/>
        <w:jc w:val="center"/>
      </w:pPr>
    </w:p>
    <w:p w:rsidR="00EE11F4" w:rsidRDefault="00EE11F4" w:rsidP="00FD4998">
      <w:pPr>
        <w:pStyle w:val="Corpsdetexte"/>
        <w:jc w:val="left"/>
      </w:pPr>
      <w:r>
        <w:t>Voici comment procéder :</w:t>
      </w:r>
    </w:p>
    <w:p w:rsidR="00EE11F4" w:rsidRDefault="000153B4" w:rsidP="00D974E2">
      <w:pPr>
        <w:pStyle w:val="Corpsdetexte"/>
        <w:numPr>
          <w:ilvl w:val="0"/>
          <w:numId w:val="37"/>
        </w:numPr>
        <w:jc w:val="left"/>
      </w:pPr>
      <w:r>
        <w:t>Liste des périphériques USB avec deux partitions, s</w:t>
      </w:r>
      <w:r w:rsidR="00EE11F4">
        <w:t xml:space="preserve">électionnez </w:t>
      </w:r>
      <w:r w:rsidR="00B56D88">
        <w:t>la partition de boot</w:t>
      </w:r>
      <w:r w:rsidR="00FD4998">
        <w:t>.</w:t>
      </w:r>
      <w:r>
        <w:br/>
        <w:t>Le logiciel va trouver la seconde partition du périphérique.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Bouton pour rafraîchir la liste des supports avec deux partitions</w:t>
      </w:r>
      <w:r w:rsidR="008708A0">
        <w:t>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lastRenderedPageBreak/>
        <w:t>Chemin où vous avez stocké les différentes ISO. Cela peut être un chemin local sur la seconde partition du disque par exemple, ou sur un partage réseau.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Bouton pour choisir l’emplacement de stockage des masters ou ISO Microsoft.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Liste des iso trouvé dans l’emplacement indiqué.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Bouton pour rafraîchir la liste des ISO.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Barre de progression globale de la génération du périphérique.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Information en temps réel du déroulement de la préparation du périphérique.</w:t>
      </w:r>
    </w:p>
    <w:p w:rsidR="000153B4" w:rsidRDefault="000153B4" w:rsidP="000153B4">
      <w:pPr>
        <w:pStyle w:val="Corpsdetexte"/>
        <w:numPr>
          <w:ilvl w:val="0"/>
          <w:numId w:val="37"/>
        </w:numPr>
        <w:jc w:val="left"/>
      </w:pPr>
      <w:r>
        <w:t>Bouton pour exécuter la préparation du périphérique.</w:t>
      </w:r>
    </w:p>
    <w:p w:rsidR="000153B4" w:rsidRDefault="000153B4" w:rsidP="000153B4">
      <w:pPr>
        <w:pStyle w:val="ChapterTitle"/>
      </w:pPr>
      <w:r>
        <w:t>Phase de la préparation du périphérique</w:t>
      </w:r>
    </w:p>
    <w:p w:rsidR="000153B4" w:rsidRDefault="000153B4" w:rsidP="000153B4">
      <w:pPr>
        <w:pStyle w:val="Corpsdetexte"/>
        <w:jc w:val="left"/>
      </w:pPr>
      <w:r>
        <w:t>Après sélection du périphérique USB avec deux partitions, le logiciel recherche la seconde partition.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drawing>
          <wp:inline distT="0" distB="0" distL="0" distR="0" wp14:anchorId="481FA2C0" wp14:editId="00B36C1B">
            <wp:extent cx="4675829" cy="32086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-usb-disk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2"/>
                    <a:stretch/>
                  </pic:blipFill>
                  <pic:spPr bwMode="auto">
                    <a:xfrm>
                      <a:off x="0" y="0"/>
                      <a:ext cx="4676190" cy="320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3E7" w:rsidRDefault="000303E7" w:rsidP="000153B4">
      <w:pPr>
        <w:pStyle w:val="Corpsdetexte"/>
        <w:jc w:val="left"/>
      </w:pPr>
      <w:r>
        <w:t>On vérifie que l’espace sur C : est suffisant.</w:t>
      </w:r>
    </w:p>
    <w:p w:rsidR="000153B4" w:rsidRDefault="000153B4" w:rsidP="000153B4">
      <w:pPr>
        <w:pStyle w:val="Corpsdetexte"/>
        <w:jc w:val="left"/>
      </w:pPr>
      <w:r>
        <w:t>Le fichier iso est monté dans un lecteur virtuel, pour ensuite servir de source lors de la copie des fichiers.</w:t>
      </w:r>
    </w:p>
    <w:p w:rsidR="000153B4" w:rsidRDefault="000303E7" w:rsidP="000153B4">
      <w:pPr>
        <w:pStyle w:val="Corpsdetexte"/>
        <w:jc w:val="left"/>
      </w:pPr>
      <w:r>
        <w:t>On formatte la première partition et on supprime le dossier DEPLOY sur la seconde partition.</w:t>
      </w:r>
    </w:p>
    <w:p w:rsidR="000303E7" w:rsidRDefault="000303E7" w:rsidP="000153B4">
      <w:pPr>
        <w:pStyle w:val="Corpsdetexte"/>
        <w:jc w:val="left"/>
      </w:pPr>
      <w:r>
        <w:lastRenderedPageBreak/>
        <w:t>On copie les différents fichiers et/ou dossiers aux endroits correspondants. Vous verrez la progression des copies avec les fenêtres classiques de copie de Windows.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4276190" cy="273333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py-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7" w:rsidRDefault="000303E7" w:rsidP="000153B4">
      <w:pPr>
        <w:pStyle w:val="Corpsdetexte"/>
        <w:jc w:val="left"/>
      </w:pPr>
      <w:r>
        <w:t>En cas d’erreur sur la copie d’un fichier, une erreur sera remontée dans le fichier log.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4276190" cy="332380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-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7" w:rsidRDefault="000303E7" w:rsidP="000303E7">
      <w:pPr>
        <w:pStyle w:val="Corpsdetexte"/>
        <w:jc w:val="left"/>
      </w:pPr>
      <w:r>
        <w:t>Lors de toutes ces étapes, la barre de progression avancera.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lastRenderedPageBreak/>
        <w:drawing>
          <wp:inline distT="0" distB="0" distL="0" distR="0">
            <wp:extent cx="4676190" cy="3200000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gr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7" w:rsidRDefault="000303E7" w:rsidP="000303E7">
      <w:pPr>
        <w:pStyle w:val="Corpsdetexte"/>
        <w:jc w:val="left"/>
      </w:pPr>
      <w:r>
        <w:t>Avant de vous annoncer que le périphérique est prêt, le lecteur virtuel sera éjecté.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2476190" cy="1447619"/>
            <wp:effectExtent l="0" t="0" r="635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10" w:rsidRDefault="00E65410" w:rsidP="00FD4998">
      <w:pPr>
        <w:pStyle w:val="ChapterTitle"/>
      </w:pPr>
      <w:r>
        <w:t xml:space="preserve">Décryptage du fichier </w:t>
      </w:r>
      <w:r w:rsidR="00D974E2">
        <w:t>log</w:t>
      </w:r>
    </w:p>
    <w:p w:rsidR="00E65410" w:rsidRDefault="00E65410" w:rsidP="00FD4998">
      <w:pPr>
        <w:pStyle w:val="Corpsdetexte"/>
        <w:jc w:val="left"/>
      </w:pPr>
      <w:r>
        <w:t xml:space="preserve">Dans le fichier </w:t>
      </w:r>
      <w:r w:rsidR="00D974E2">
        <w:t>log</w:t>
      </w:r>
      <w:r>
        <w:t xml:space="preserve">, vous retrouverez </w:t>
      </w:r>
      <w:r w:rsidR="00D974E2">
        <w:t>tout ce que le programme à fait depuis son ouverture.</w:t>
      </w:r>
      <w:r w:rsidR="000303E7">
        <w:t xml:space="preserve"> Il se trouve sur C:\e.SNCF\logs</w:t>
      </w:r>
    </w:p>
    <w:p w:rsidR="000303E7" w:rsidRDefault="000303E7" w:rsidP="000303E7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3257143" cy="1266667"/>
            <wp:effectExtent l="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E2" w:rsidRDefault="00D974E2" w:rsidP="00FD4998">
      <w:pPr>
        <w:pStyle w:val="Corpsdetexte"/>
        <w:jc w:val="left"/>
      </w:pPr>
      <w:r>
        <w:lastRenderedPageBreak/>
        <w:t>Il sera écrasé à chaque ouverture du programme.</w:t>
      </w:r>
    </w:p>
    <w:p w:rsidR="00D974E2" w:rsidRDefault="00D974E2" w:rsidP="00FD4998">
      <w:pPr>
        <w:pStyle w:val="Corpsdetexte"/>
        <w:jc w:val="left"/>
      </w:pPr>
      <w:r>
        <w:t>En cas d’erreur en utilisant un outil comme CMTRACE.EXE de Microsoft, les lignes en erreur apparaitront en rouge.</w:t>
      </w:r>
    </w:p>
    <w:p w:rsidR="005D168B" w:rsidRPr="005D168B" w:rsidRDefault="00E6411C" w:rsidP="00FD4998">
      <w:pPr>
        <w:pStyle w:val="Corpsdetexte"/>
        <w:jc w:val="left"/>
      </w:pPr>
      <w:r>
        <w:rPr>
          <w:noProof/>
        </w:rPr>
        <w:lastRenderedPageBreak/>
        <w:drawing>
          <wp:inline distT="0" distB="0" distL="0" distR="0">
            <wp:extent cx="6334125" cy="8188157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-fi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113" cy="81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8B" w:rsidRPr="005D168B" w:rsidSect="000153B4">
      <w:headerReference w:type="default" r:id="rId24"/>
      <w:footerReference w:type="default" r:id="rId25"/>
      <w:headerReference w:type="first" r:id="rId26"/>
      <w:type w:val="continuous"/>
      <w:pgSz w:w="12240" w:h="15840" w:code="1"/>
      <w:pgMar w:top="1800" w:right="616" w:bottom="1440" w:left="851" w:header="72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DDF" w:rsidRDefault="00ED7DDF">
      <w:r>
        <w:separator/>
      </w:r>
    </w:p>
  </w:endnote>
  <w:endnote w:type="continuationSeparator" w:id="0">
    <w:p w:rsidR="00ED7DDF" w:rsidRDefault="00ED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77524118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E11F4" w:rsidRDefault="00EE11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D5C3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10966009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E16EE8" w:rsidRDefault="00E16EE8" w:rsidP="00EE11F4">
    <w:pPr>
      <w:pStyle w:val="Pieddepage"/>
      <w:pBdr>
        <w:top w:val="single" w:sz="6" w:space="18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DDF" w:rsidRDefault="00ED7DDF">
      <w:r>
        <w:separator/>
      </w:r>
    </w:p>
  </w:footnote>
  <w:footnote w:type="continuationSeparator" w:id="0">
    <w:p w:rsidR="00ED7DDF" w:rsidRDefault="00ED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  <w:r>
      <w:t>Design Customization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5AF41AF"/>
    <w:multiLevelType w:val="hybridMultilevel"/>
    <w:tmpl w:val="5566B4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AE3648F"/>
    <w:multiLevelType w:val="hybridMultilevel"/>
    <w:tmpl w:val="D8001648"/>
    <w:lvl w:ilvl="0" w:tplc="F49A4AA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 w15:restartNumberingAfterBreak="0">
    <w:nsid w:val="4B554DD1"/>
    <w:multiLevelType w:val="hybridMultilevel"/>
    <w:tmpl w:val="30CEC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Listepuce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E4A0EE5"/>
    <w:multiLevelType w:val="hybridMultilevel"/>
    <w:tmpl w:val="3AD2F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36190"/>
    <w:multiLevelType w:val="singleLevel"/>
    <w:tmpl w:val="D7CE7166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0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9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8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0"/>
  </w:num>
  <w:num w:numId="19">
    <w:abstractNumId w:val="6"/>
  </w:num>
  <w:num w:numId="20">
    <w:abstractNumId w:val="22"/>
  </w:num>
  <w:num w:numId="21">
    <w:abstractNumId w:val="21"/>
  </w:num>
  <w:num w:numId="22">
    <w:abstractNumId w:val="10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3"/>
  </w:num>
  <w:num w:numId="3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9"/>
  </w:num>
  <w:num w:numId="38">
    <w:abstractNumId w:val="11"/>
  </w:num>
  <w:num w:numId="39">
    <w:abstractNumId w:val="1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0153B4"/>
    <w:rsid w:val="000303E7"/>
    <w:rsid w:val="0003284F"/>
    <w:rsid w:val="00063F64"/>
    <w:rsid w:val="001348FB"/>
    <w:rsid w:val="00160126"/>
    <w:rsid w:val="00277B76"/>
    <w:rsid w:val="002B0435"/>
    <w:rsid w:val="002D4C6B"/>
    <w:rsid w:val="0031562B"/>
    <w:rsid w:val="003871D2"/>
    <w:rsid w:val="003D2659"/>
    <w:rsid w:val="0040359C"/>
    <w:rsid w:val="004205D9"/>
    <w:rsid w:val="004265DB"/>
    <w:rsid w:val="00474EE4"/>
    <w:rsid w:val="00495B39"/>
    <w:rsid w:val="004A4678"/>
    <w:rsid w:val="005A23FC"/>
    <w:rsid w:val="005B1266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14FAF"/>
    <w:rsid w:val="008221BA"/>
    <w:rsid w:val="0084757A"/>
    <w:rsid w:val="008629BC"/>
    <w:rsid w:val="008708A0"/>
    <w:rsid w:val="008B6D14"/>
    <w:rsid w:val="008E4DF6"/>
    <w:rsid w:val="00900148"/>
    <w:rsid w:val="00924D19"/>
    <w:rsid w:val="00961301"/>
    <w:rsid w:val="009620D9"/>
    <w:rsid w:val="00977C9A"/>
    <w:rsid w:val="009A55E3"/>
    <w:rsid w:val="00A14EF4"/>
    <w:rsid w:val="00A27855"/>
    <w:rsid w:val="00AA2B40"/>
    <w:rsid w:val="00AF5B2E"/>
    <w:rsid w:val="00B307B5"/>
    <w:rsid w:val="00B41464"/>
    <w:rsid w:val="00B56D88"/>
    <w:rsid w:val="00B75975"/>
    <w:rsid w:val="00B9112D"/>
    <w:rsid w:val="00CB201E"/>
    <w:rsid w:val="00CF0D27"/>
    <w:rsid w:val="00D05564"/>
    <w:rsid w:val="00D20313"/>
    <w:rsid w:val="00D61364"/>
    <w:rsid w:val="00D6516D"/>
    <w:rsid w:val="00D828CC"/>
    <w:rsid w:val="00D974E2"/>
    <w:rsid w:val="00DA28BB"/>
    <w:rsid w:val="00DB05AE"/>
    <w:rsid w:val="00DC1EFF"/>
    <w:rsid w:val="00E16EE8"/>
    <w:rsid w:val="00E6411C"/>
    <w:rsid w:val="00E64DEE"/>
    <w:rsid w:val="00E65410"/>
    <w:rsid w:val="00E8776E"/>
    <w:rsid w:val="00ED7DDF"/>
    <w:rsid w:val="00EE11F4"/>
    <w:rsid w:val="00F01E40"/>
    <w:rsid w:val="00F8730F"/>
    <w:rsid w:val="00FD4998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15E3AA"/>
  <w15:chartTrackingRefBased/>
  <w15:docId w15:val="{94B57752-DD70-7141-85B7-7A5DE1C0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itre1">
    <w:name w:val="heading 1"/>
    <w:basedOn w:val="Normal"/>
    <w:next w:val="Corpsdetexte"/>
    <w:link w:val="Titre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itre2">
    <w:name w:val="heading 2"/>
    <w:basedOn w:val="Normal"/>
    <w:next w:val="Corpsdetex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itre3">
    <w:name w:val="heading 3"/>
    <w:basedOn w:val="Normal"/>
    <w:next w:val="Corpsdetex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itre4">
    <w:name w:val="heading 4"/>
    <w:basedOn w:val="Normal"/>
    <w:next w:val="Corpsdetex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itre5">
    <w:name w:val="heading 5"/>
    <w:basedOn w:val="Normal"/>
    <w:next w:val="Corpsdetex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itre6">
    <w:name w:val="heading 6"/>
    <w:basedOn w:val="Normal"/>
    <w:next w:val="Corpsdetexte"/>
    <w:qFormat/>
    <w:pPr>
      <w:keepNext/>
      <w:framePr w:w="1800" w:wrap="around" w:vAnchor="text" w:hAnchor="page" w:x="1201" w:y="1"/>
      <w:outlineLvl w:val="5"/>
    </w:pPr>
  </w:style>
  <w:style w:type="paragraph" w:styleId="Titre7">
    <w:name w:val="heading 7"/>
    <w:basedOn w:val="Normal"/>
    <w:next w:val="Corpsdetex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itre8">
    <w:name w:val="heading 8"/>
    <w:basedOn w:val="Normal"/>
    <w:next w:val="Corpsdetex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itre9">
    <w:name w:val="heading 9"/>
    <w:basedOn w:val="Normal"/>
    <w:next w:val="Corpsdetex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/>
      <w:jc w:val="both"/>
    </w:pPr>
    <w:rPr>
      <w:spacing w:val="-5"/>
      <w:sz w:val="2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sdetex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sdetexte"/>
    <w:next w:val="Corpsdetexte"/>
    <w:pPr>
      <w:keepNext/>
    </w:pPr>
  </w:style>
  <w:style w:type="paragraph" w:styleId="Lgende">
    <w:name w:val="caption"/>
    <w:basedOn w:val="Normal"/>
    <w:next w:val="Corpsdetex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sdetex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Accentuation">
    <w:name w:val="Emphasis"/>
    <w:qFormat/>
    <w:rPr>
      <w:rFonts w:ascii="Arial Black" w:hAnsi="Arial Black"/>
      <w:sz w:val="18"/>
    </w:rPr>
  </w:style>
  <w:style w:type="character" w:styleId="Appeldenotedefin">
    <w:name w:val="endnote reference"/>
    <w:semiHidden/>
    <w:rPr>
      <w:sz w:val="18"/>
      <w:vertAlign w:val="superscript"/>
    </w:rPr>
  </w:style>
  <w:style w:type="paragraph" w:styleId="Notedefin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depage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ppelnotedebasdep">
    <w:name w:val="footnote reference"/>
    <w:semiHidden/>
    <w:rPr>
      <w:sz w:val="18"/>
      <w:vertAlign w:val="superscript"/>
    </w:rPr>
  </w:style>
  <w:style w:type="paragraph" w:styleId="Notedebasdepag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-tte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itreindex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epuce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epuce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um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edemacro">
    <w:name w:val="macro"/>
    <w:basedOn w:val="Corpsdetexte"/>
    <w:semiHidden/>
    <w:pPr>
      <w:spacing w:after="120"/>
    </w:pPr>
    <w:rPr>
      <w:rFonts w:ascii="Courier New" w:hAnsi="Courier New"/>
    </w:rPr>
  </w:style>
  <w:style w:type="character" w:styleId="Numrodepage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sdetexte"/>
    <w:next w:val="Lgend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ous-titre">
    <w:name w:val="Subtitle"/>
    <w:basedOn w:val="Titre"/>
    <w:next w:val="Corpsdetex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r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desrfrencesjuridiqu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desillustration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itreTR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M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M2">
    <w:name w:val="toc 2"/>
    <w:basedOn w:val="TM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M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M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M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M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M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M2"/>
  </w:style>
  <w:style w:type="paragraph" w:styleId="Textedebulles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itre1Car">
    <w:name w:val="Titre 1 Car"/>
    <w:basedOn w:val="Policepardfaut"/>
    <w:link w:val="Titre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sdetexteCar">
    <w:name w:val="Corps de texte Car"/>
    <w:basedOn w:val="Policepardfaut"/>
    <w:link w:val="Corpsdetex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Lienhypertexte">
    <w:name w:val="Hyperlink"/>
    <w:basedOn w:val="Policepardfaut"/>
    <w:rsid w:val="004265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20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B6257C7D-53D6-47E4-BD29-45C2F301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632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LEVAVASSEUR</dc:creator>
  <cp:keywords/>
  <dc:description/>
  <cp:lastModifiedBy>JLR</cp:lastModifiedBy>
  <cp:revision>10</cp:revision>
  <cp:lastPrinted>2003-03-21T15:17:00Z</cp:lastPrinted>
  <dcterms:created xsi:type="dcterms:W3CDTF">2018-03-20T10:36:00Z</dcterms:created>
  <dcterms:modified xsi:type="dcterms:W3CDTF">2018-04-02T16:42:00Z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