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Display" w:hAnsi="Aptos Display"/>
          <w:b/>
          <w:color w:val="000000"/>
          <w:sz w:val="44"/>
        </w:rPr>
        <w:t>Guía de Explicación del Hito 2 de DFSha</w:t>
      </w:r>
    </w:p>
    <w:p>
      <w:r>
        <w:rPr>
          <w:rFonts w:ascii="Aptos" w:hAnsi="Aptos"/>
          <w:b w:val="0"/>
          <w:color w:val="4F4F4F"/>
          <w:sz w:val="24"/>
        </w:rPr>
        <w:t>Documento de apoyo para comprender, presentar y sustentar el diseño técnico</w:t>
      </w:r>
    </w:p>
    <w:p>
      <w:pPr>
        <w:spacing w:after="120"/>
      </w:pPr>
      <w:r>
        <w:rPr>
          <w:rFonts w:ascii="Aptos" w:hAnsi="Aptos"/>
          <w:b w:val="0"/>
          <w:color w:val="000000"/>
          <w:sz w:val="21"/>
        </w:rPr>
        <w:t>Esta guía explica qué se hizo en el Hito 2, por qué se tomaron las decisiones técnicas y cómo presentar el resultado. El documento distingue entre el diseño definido, el bootstrap implementado y las funciones que todavía deben completarse antes de considerar el sistema listo para producción.</w:t>
      </w:r>
    </w:p>
    <w:p>
      <w:pPr>
        <w:pStyle w:val="Heading1"/>
      </w:pPr>
      <w:r>
        <w:rPr>
          <w:rFonts w:ascii="Aptos" w:hAnsi="Aptos"/>
          <w:b/>
          <w:color w:val="000000"/>
          <w:sz w:val="30"/>
        </w:rPr>
        <w:t>1. Qué problema resuelve DFSha</w:t>
      </w:r>
    </w:p>
    <w:p>
      <w:pPr>
        <w:spacing w:after="120"/>
      </w:pPr>
      <w:r>
        <w:rPr>
          <w:rFonts w:ascii="Aptos" w:hAnsi="Aptos"/>
          <w:b w:val="0"/>
          <w:color w:val="000000"/>
          <w:sz w:val="21"/>
        </w:rPr>
        <w:t>DFSha es un sistema de archivos distribuido. Su objetivo es permitir que un usuario suba, consulte y recupere archivos sin conocer en qué DataNode se encuentra cada parte. Los archivos grandes se dividen en bloques y esos bloques se distribuyen entre varios DataNodes.</w:t>
      </w:r>
    </w:p>
    <w:p>
      <w:pPr>
        <w:spacing w:after="120"/>
      </w:pPr>
      <w:r>
        <w:rPr>
          <w:rFonts w:ascii="Aptos" w:hAnsi="Aptos"/>
          <w:b w:val="0"/>
          <w:color w:val="000000"/>
          <w:sz w:val="21"/>
        </w:rPr>
        <w:t>El ControlNode administra los metadatos: conoce los archivos, los bloques que los componen, el orden de cada bloque y el DataNode donde se almacena. Los DataNodes almacenan los bytes y atienden directamente las transferencias para evitar que el ControlNode se convierta en un cuello de botella.</w:t>
      </w:r>
    </w:p>
    <w:p>
      <w:pPr>
        <w:spacing w:after="0"/>
        <w:ind w:left="173"/>
        <w:shd w:fill="F3F4F6"/>
      </w:pPr>
      <w:r>
        <w:rPr>
          <w:rFonts w:ascii="Courier New" w:hAnsi="Courier New"/>
          <w:b w:val="0"/>
          <w:color w:val="202020"/>
          <w:sz w:val="17"/>
        </w:rPr>
        <w:t>Cliente -&gt; ControlNode: metadatos y planificación</w:t>
      </w:r>
    </w:p>
    <w:p>
      <w:pPr>
        <w:spacing w:after="0"/>
        <w:ind w:left="173"/>
        <w:shd w:fill="F3F4F6"/>
      </w:pPr>
      <w:r>
        <w:rPr>
          <w:rFonts w:ascii="Courier New" w:hAnsi="Courier New"/>
          <w:b w:val="0"/>
          <w:color w:val="202020"/>
          <w:sz w:val="17"/>
        </w:rPr>
        <w:t>Cliente -&gt; DataNode: escritura y lectura de bytes</w:t>
      </w:r>
    </w:p>
    <w:p>
      <w:pPr>
        <w:spacing w:after="0"/>
        <w:ind w:left="173"/>
        <w:shd w:fill="F3F4F6"/>
      </w:pPr>
      <w:r>
        <w:rPr>
          <w:rFonts w:ascii="Courier New" w:hAnsi="Courier New"/>
          <w:b w:val="0"/>
          <w:color w:val="202020"/>
          <w:sz w:val="17"/>
        </w:rPr>
        <w:t>DataNode -&gt; ControlNode: registro, heartbeat y confirmación del bloque</w:t>
      </w:r>
    </w:p>
    <w:p>
      <w:pPr>
        <w:pStyle w:val="Heading1"/>
      </w:pPr>
      <w:r>
        <w:rPr>
          <w:rFonts w:ascii="Aptos" w:hAnsi="Aptos"/>
          <w:b/>
          <w:color w:val="000000"/>
          <w:sz w:val="30"/>
        </w:rPr>
        <w:t>2. Qué se desarrolló en el Hito 2</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trPr>
        <w:tc>
          <w:tcPr>
            <w:tcW w:type="dxa" w:w="4968"/>
            <w:vAlign w:val="center"/>
            <w:tcMar>
              <w:top w:w="110" w:type="dxa"/>
              <w:start w:w="110" w:type="dxa"/>
              <w:bottom w:w="110" w:type="dxa"/>
              <w:end w:w="110" w:type="dxa"/>
            </w:tcMar>
            <w:shd w:fill="1F4E78"/>
          </w:tcPr>
          <w:p>
            <w:r>
              <w:rPr>
                <w:rFonts w:ascii="Aptos" w:hAnsi="Aptos"/>
                <w:b/>
                <w:color w:val="FFFFFF"/>
                <w:sz w:val="21"/>
              </w:rPr>
              <w:t>Elemento</w:t>
            </w:r>
          </w:p>
        </w:tc>
        <w:tc>
          <w:tcPr>
            <w:tcW w:type="dxa" w:w="4968"/>
            <w:vAlign w:val="center"/>
            <w:tcMar>
              <w:top w:w="110" w:type="dxa"/>
              <w:start w:w="110" w:type="dxa"/>
              <w:bottom w:w="110" w:type="dxa"/>
              <w:end w:w="110" w:type="dxa"/>
            </w:tcMar>
            <w:shd w:fill="1F4E78"/>
          </w:tcPr>
          <w:p>
            <w:r>
              <w:rPr>
                <w:rFonts w:ascii="Aptos" w:hAnsi="Aptos"/>
                <w:b/>
                <w:color w:val="FFFFFF"/>
                <w:sz w:val="21"/>
              </w:rPr>
              <w:t>Resultado</w:t>
            </w:r>
          </w:p>
        </w:tc>
      </w:tr>
      <w:tr>
        <w:tc>
          <w:tcPr>
            <w:tcW w:type="dxa" w:w="4968"/>
            <w:tcMar>
              <w:top w:w="110" w:type="dxa"/>
              <w:start w:w="110" w:type="dxa"/>
              <w:bottom w:w="110" w:type="dxa"/>
              <w:end w:w="110" w:type="dxa"/>
            </w:tcMar>
            <w:vAlign w:val="center"/>
          </w:tcPr>
          <w:p>
            <w:r>
              <w:rPr>
                <w:rFonts w:ascii="Aptos" w:hAnsi="Aptos"/>
                <w:b w:val="0"/>
                <w:color w:val="000000"/>
                <w:sz w:val="19"/>
              </w:rPr>
              <w:t>Bloques</w:t>
            </w:r>
          </w:p>
        </w:tc>
        <w:tc>
          <w:tcPr>
            <w:tcW w:type="dxa" w:w="4968"/>
            <w:tcMar>
              <w:top w:w="110" w:type="dxa"/>
              <w:start w:w="110" w:type="dxa"/>
              <w:bottom w:w="110" w:type="dxa"/>
              <w:end w:w="110" w:type="dxa"/>
            </w:tcMar>
            <w:vAlign w:val="center"/>
          </w:tcPr>
          <w:p>
            <w:r>
              <w:rPr>
                <w:rFonts w:ascii="Aptos" w:hAnsi="Aptos"/>
                <w:b w:val="0"/>
                <w:color w:val="000000"/>
                <w:sz w:val="19"/>
              </w:rPr>
              <w:t>Tamaño por defecto de 8 MiB y cálculo de offsets.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Asignación</w:t>
            </w:r>
          </w:p>
        </w:tc>
        <w:tc>
          <w:tcPr>
            <w:tcW w:type="dxa" w:w="4968"/>
            <w:tcMar>
              <w:top w:w="110" w:type="dxa"/>
              <w:start w:w="110" w:type="dxa"/>
              <w:bottom w:w="110" w:type="dxa"/>
              <w:end w:w="110" w:type="dxa"/>
            </w:tcMar>
            <w:vAlign w:val="center"/>
            <w:shd w:fill="F4F7FA"/>
          </w:tcPr>
          <w:p>
            <w:r>
              <w:rPr>
                <w:rFonts w:ascii="Aptos" w:hAnsi="Aptos"/>
                <w:b w:val="0"/>
                <w:color w:val="000000"/>
                <w:sz w:val="19"/>
              </w:rPr>
              <w:t>Reparto por rondas entre DataNodes elegibles y puntuación por espacio y carga.</w:t>
            </w:r>
          </w:p>
        </w:tc>
      </w:tr>
      <w:tr>
        <w:tc>
          <w:tcPr>
            <w:tcW w:type="dxa" w:w="4968"/>
            <w:tcMar>
              <w:top w:w="110" w:type="dxa"/>
              <w:start w:w="110" w:type="dxa"/>
              <w:bottom w:w="110" w:type="dxa"/>
              <w:end w:w="110" w:type="dxa"/>
            </w:tcMar>
            <w:vAlign w:val="center"/>
          </w:tcPr>
          <w:p>
            <w:r>
              <w:rPr>
                <w:rFonts w:ascii="Aptos" w:hAnsi="Aptos"/>
                <w:b w:val="0"/>
                <w:color w:val="000000"/>
                <w:sz w:val="19"/>
              </w:rPr>
              <w:t>Comunicación</w:t>
            </w:r>
          </w:p>
        </w:tc>
        <w:tc>
          <w:tcPr>
            <w:tcW w:type="dxa" w:w="4968"/>
            <w:tcMar>
              <w:top w:w="110" w:type="dxa"/>
              <w:start w:w="110" w:type="dxa"/>
              <w:bottom w:w="110" w:type="dxa"/>
              <w:end w:w="110" w:type="dxa"/>
            </w:tcMar>
            <w:vAlign w:val="center"/>
          </w:tcPr>
          <w:p>
            <w:r>
              <w:rPr>
                <w:rFonts w:ascii="Aptos" w:hAnsi="Aptos"/>
                <w:b w:val="0"/>
                <w:color w:val="000000"/>
                <w:sz w:val="19"/>
              </w:rPr>
              <w:t>Contrato gRPC para ControlNode, DataNodes y registro de nodos.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Base de datos</w:t>
            </w:r>
          </w:p>
        </w:tc>
        <w:tc>
          <w:tcPr>
            <w:tcW w:type="dxa" w:w="4968"/>
            <w:tcMar>
              <w:top w:w="110" w:type="dxa"/>
              <w:start w:w="110" w:type="dxa"/>
              <w:bottom w:w="110" w:type="dxa"/>
              <w:end w:w="110" w:type="dxa"/>
            </w:tcMar>
            <w:vAlign w:val="center"/>
            <w:shd w:fill="F4F7FA"/>
          </w:tcPr>
          <w:p>
            <w:r>
              <w:rPr>
                <w:rFonts w:ascii="Aptos" w:hAnsi="Aptos"/>
                <w:b w:val="0"/>
                <w:color w:val="000000"/>
                <w:sz w:val="19"/>
              </w:rPr>
              <w:t>Modelo PostgreSQL para usuarios, archivos, directorios, bloques, ubicaciones y locks.</w:t>
            </w:r>
          </w:p>
        </w:tc>
      </w:tr>
      <w:tr>
        <w:tc>
          <w:tcPr>
            <w:tcW w:type="dxa" w:w="4968"/>
            <w:tcMar>
              <w:top w:w="110" w:type="dxa"/>
              <w:start w:w="110" w:type="dxa"/>
              <w:bottom w:w="110" w:type="dxa"/>
              <w:end w:w="110" w:type="dxa"/>
            </w:tcMar>
            <w:vAlign w:val="center"/>
          </w:tcPr>
          <w:p>
            <w:r>
              <w:rPr>
                <w:rFonts w:ascii="Aptos" w:hAnsi="Aptos"/>
                <w:b w:val="0"/>
                <w:color w:val="000000"/>
                <w:sz w:val="19"/>
              </w:rPr>
              <w:t>Despliegue</w:t>
            </w:r>
          </w:p>
        </w:tc>
        <w:tc>
          <w:tcPr>
            <w:tcW w:type="dxa" w:w="4968"/>
            <w:tcMar>
              <w:top w:w="110" w:type="dxa"/>
              <w:start w:w="110" w:type="dxa"/>
              <w:bottom w:w="110" w:type="dxa"/>
              <w:end w:w="110" w:type="dxa"/>
            </w:tcMar>
            <w:vAlign w:val="center"/>
          </w:tcPr>
          <w:p>
            <w:r>
              <w:rPr>
                <w:rFonts w:ascii="Aptos" w:hAnsi="Aptos"/>
                <w:b w:val="0"/>
                <w:color w:val="000000"/>
                <w:sz w:val="19"/>
              </w:rPr>
              <w:t>Docker Compose con PostgreSQL, RabbitMQ, un ControlNode y tres DataNodes.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Bootstrap</w:t>
            </w:r>
          </w:p>
        </w:tc>
        <w:tc>
          <w:tcPr>
            <w:tcW w:type="dxa" w:w="4968"/>
            <w:tcMar>
              <w:top w:w="110" w:type="dxa"/>
              <w:start w:w="110" w:type="dxa"/>
              <w:bottom w:w="110" w:type="dxa"/>
              <w:end w:w="110" w:type="dxa"/>
            </w:tcMar>
            <w:vAlign w:val="center"/>
            <w:shd w:fill="F4F7FA"/>
          </w:tcPr>
          <w:p>
            <w:r>
              <w:rPr>
                <w:rFonts w:ascii="Aptos" w:hAnsi="Aptos"/>
                <w:b w:val="0"/>
                <w:color w:val="000000"/>
                <w:sz w:val="19"/>
              </w:rPr>
              <w:t>Servidores Java mínimos para registro, heartbeat, asignación, escritura y commit.</w:t>
            </w:r>
          </w:p>
        </w:tc>
      </w:tr>
    </w:tbl>
    <w:p/>
    <w:p>
      <w:pPr>
        <w:pStyle w:val="Heading1"/>
      </w:pPr>
      <w:r>
        <w:rPr>
          <w:rFonts w:ascii="Aptos" w:hAnsi="Aptos"/>
          <w:b/>
          <w:color w:val="000000"/>
          <w:sz w:val="30"/>
        </w:rPr>
        <w:t>3. Arquitectura y responsabilidades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trPr>
        <w:tc>
          <w:tcPr>
            <w:tcW w:type="dxa" w:w="4968"/>
            <w:vAlign w:val="center"/>
            <w:tcMar>
              <w:top w:w="110" w:type="dxa"/>
              <w:start w:w="110" w:type="dxa"/>
              <w:bottom w:w="110" w:type="dxa"/>
              <w:end w:w="110" w:type="dxa"/>
            </w:tcMar>
            <w:shd w:fill="1F4E78"/>
          </w:tcPr>
          <w:p>
            <w:r>
              <w:rPr>
                <w:rFonts w:ascii="Aptos" w:hAnsi="Aptos"/>
                <w:b/>
                <w:color w:val="FFFFFF"/>
                <w:sz w:val="21"/>
              </w:rPr>
              <w:t>Componente</w:t>
            </w:r>
          </w:p>
        </w:tc>
        <w:tc>
          <w:tcPr>
            <w:tcW w:type="dxa" w:w="4968"/>
            <w:vAlign w:val="center"/>
            <w:tcMar>
              <w:top w:w="110" w:type="dxa"/>
              <w:start w:w="110" w:type="dxa"/>
              <w:bottom w:w="110" w:type="dxa"/>
              <w:end w:w="110" w:type="dxa"/>
            </w:tcMar>
            <w:shd w:fill="1F4E78"/>
          </w:tcPr>
          <w:p>
            <w:r>
              <w:rPr>
                <w:rFonts w:ascii="Aptos" w:hAnsi="Aptos"/>
                <w:b/>
                <w:color w:val="FFFFFF"/>
                <w:sz w:val="21"/>
              </w:rPr>
              <w:t>Responsabilidad principal</w:t>
            </w:r>
          </w:p>
        </w:tc>
      </w:tr>
      <w:tr>
        <w:tc>
          <w:tcPr>
            <w:tcW w:type="dxa" w:w="4968"/>
            <w:tcMar>
              <w:top w:w="110" w:type="dxa"/>
              <w:start w:w="110" w:type="dxa"/>
              <w:bottom w:w="110" w:type="dxa"/>
              <w:end w:w="110" w:type="dxa"/>
            </w:tcMar>
            <w:vAlign w:val="center"/>
          </w:tcPr>
          <w:p>
            <w:r>
              <w:rPr>
                <w:rFonts w:ascii="Aptos" w:hAnsi="Aptos"/>
                <w:b w:val="0"/>
                <w:color w:val="000000"/>
                <w:sz w:val="19"/>
              </w:rPr>
              <w:t>Cliente</w:t>
            </w:r>
          </w:p>
        </w:tc>
        <w:tc>
          <w:tcPr>
            <w:tcW w:type="dxa" w:w="4968"/>
            <w:tcMar>
              <w:top w:w="110" w:type="dxa"/>
              <w:start w:w="110" w:type="dxa"/>
              <w:bottom w:w="110" w:type="dxa"/>
              <w:end w:w="110" w:type="dxa"/>
            </w:tcMar>
            <w:vAlign w:val="center"/>
          </w:tcPr>
          <w:p>
            <w:r>
              <w:rPr>
                <w:rFonts w:ascii="Aptos" w:hAnsi="Aptos"/>
                <w:b w:val="0"/>
                <w:color w:val="000000"/>
                <w:sz w:val="19"/>
              </w:rPr>
              <w:t>Solicita planes, divide archivos, envía bloques y reconstruye archivos.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ControlNode</w:t>
            </w:r>
          </w:p>
        </w:tc>
        <w:tc>
          <w:tcPr>
            <w:tcW w:type="dxa" w:w="4968"/>
            <w:tcMar>
              <w:top w:w="110" w:type="dxa"/>
              <w:start w:w="110" w:type="dxa"/>
              <w:bottom w:w="110" w:type="dxa"/>
              <w:end w:w="110" w:type="dxa"/>
            </w:tcMar>
            <w:vAlign w:val="center"/>
            <w:shd w:fill="F4F7FA"/>
          </w:tcPr>
          <w:p>
            <w:r>
              <w:rPr>
                <w:rFonts w:ascii="Aptos" w:hAnsi="Aptos"/>
                <w:b w:val="0"/>
                <w:color w:val="000000"/>
                <w:sz w:val="19"/>
              </w:rPr>
              <w:t>Autentica usuarios, asigna bloques, mantiene metadatos y confirma archivos.</w:t>
            </w:r>
          </w:p>
        </w:tc>
      </w:tr>
      <w:tr>
        <w:tc>
          <w:tcPr>
            <w:tcW w:type="dxa" w:w="4968"/>
            <w:tcMar>
              <w:top w:w="110" w:type="dxa"/>
              <w:start w:w="110" w:type="dxa"/>
              <w:bottom w:w="110" w:type="dxa"/>
              <w:end w:w="110" w:type="dxa"/>
            </w:tcMar>
            <w:vAlign w:val="center"/>
          </w:tcPr>
          <w:p>
            <w:r>
              <w:rPr>
                <w:rFonts w:ascii="Aptos" w:hAnsi="Aptos"/>
                <w:b w:val="0"/>
                <w:color w:val="000000"/>
                <w:sz w:val="19"/>
              </w:rPr>
              <w:t>DataNode</w:t>
            </w:r>
          </w:p>
        </w:tc>
        <w:tc>
          <w:tcPr>
            <w:tcW w:type="dxa" w:w="4968"/>
            <w:tcMar>
              <w:top w:w="110" w:type="dxa"/>
              <w:start w:w="110" w:type="dxa"/>
              <w:bottom w:w="110" w:type="dxa"/>
              <w:end w:w="110" w:type="dxa"/>
            </w:tcMar>
            <w:vAlign w:val="center"/>
          </w:tcPr>
          <w:p>
            <w:r>
              <w:rPr>
                <w:rFonts w:ascii="Aptos" w:hAnsi="Aptos"/>
                <w:b w:val="0"/>
                <w:color w:val="000000"/>
                <w:sz w:val="19"/>
              </w:rPr>
              <w:t>Registra su estado, almacena bloques y entrega bytes.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PostgreSQL</w:t>
            </w:r>
          </w:p>
        </w:tc>
        <w:tc>
          <w:tcPr>
            <w:tcW w:type="dxa" w:w="4968"/>
            <w:tcMar>
              <w:top w:w="110" w:type="dxa"/>
              <w:start w:w="110" w:type="dxa"/>
              <w:bottom w:w="110" w:type="dxa"/>
              <w:end w:w="110" w:type="dxa"/>
            </w:tcMar>
            <w:vAlign w:val="center"/>
            <w:shd w:fill="F4F7FA"/>
          </w:tcPr>
          <w:p>
            <w:r>
              <w:rPr>
                <w:rFonts w:ascii="Aptos" w:hAnsi="Aptos"/>
                <w:b w:val="0"/>
                <w:color w:val="000000"/>
                <w:sz w:val="19"/>
              </w:rPr>
              <w:t>Persiste usuarios, namespace, bloques, ubicaciones y estados.</w:t>
            </w:r>
          </w:p>
        </w:tc>
      </w:tr>
      <w:tr>
        <w:tc>
          <w:tcPr>
            <w:tcW w:type="dxa" w:w="4968"/>
            <w:tcMar>
              <w:top w:w="110" w:type="dxa"/>
              <w:start w:w="110" w:type="dxa"/>
              <w:bottom w:w="110" w:type="dxa"/>
              <w:end w:w="110" w:type="dxa"/>
            </w:tcMar>
            <w:vAlign w:val="center"/>
          </w:tcPr>
          <w:p>
            <w:r>
              <w:rPr>
                <w:rFonts w:ascii="Aptos" w:hAnsi="Aptos"/>
                <w:b w:val="0"/>
                <w:color w:val="000000"/>
                <w:sz w:val="19"/>
              </w:rPr>
              <w:t>RabbitMQ</w:t>
            </w:r>
          </w:p>
        </w:tc>
        <w:tc>
          <w:tcPr>
            <w:tcW w:type="dxa" w:w="4968"/>
            <w:tcMar>
              <w:top w:w="110" w:type="dxa"/>
              <w:start w:w="110" w:type="dxa"/>
              <w:bottom w:w="110" w:type="dxa"/>
              <w:end w:w="110" w:type="dxa"/>
            </w:tcMar>
            <w:vAlign w:val="center"/>
          </w:tcPr>
          <w:p>
            <w:r>
              <w:rPr>
                <w:rFonts w:ascii="Aptos" w:hAnsi="Aptos"/>
                <w:b w:val="0"/>
                <w:color w:val="000000"/>
                <w:sz w:val="19"/>
              </w:rPr>
              <w:t>Transporta eventos asíncronos como borrados, auditoría y tareas futuras.</w:t>
            </w:r>
          </w:p>
        </w:tc>
      </w:tr>
    </w:tbl>
    <w:p/>
    <w:p>
      <w:pPr>
        <w:pStyle w:val="Heading1"/>
      </w:pPr>
      <w:r>
        <w:rPr>
          <w:rFonts w:ascii="Aptos" w:hAnsi="Aptos"/>
          <w:b/>
          <w:color w:val="000000"/>
          <w:sz w:val="30"/>
        </w:rPr>
        <w:t>4. Flujo de subida de un archivo</w:t>
      </w:r>
    </w:p>
    <w:p>
      <w:pPr>
        <w:pStyle w:val="ListNumber"/>
        <w:spacing w:after="60"/>
      </w:pPr>
      <w:r>
        <w:rPr>
          <w:rFonts w:ascii="Aptos" w:hAnsi="Aptos"/>
          <w:b w:val="0"/>
          <w:color w:val="000000"/>
          <w:sz w:val="21"/>
        </w:rPr>
        <w:t>El Cliente inicia sesión y recibe un token de acceso.</w:t>
      </w:r>
    </w:p>
    <w:p>
      <w:pPr>
        <w:pStyle w:val="ListNumber"/>
        <w:spacing w:after="60"/>
      </w:pPr>
      <w:r>
        <w:rPr>
          <w:rFonts w:ascii="Aptos" w:hAnsi="Aptos"/>
          <w:b w:val="0"/>
          <w:color w:val="000000"/>
          <w:sz w:val="21"/>
        </w:rPr>
        <w:t>El Cliente llama a AllocateFile con el path, el tamaño y un operation_id.</w:t>
      </w:r>
    </w:p>
    <w:p>
      <w:pPr>
        <w:pStyle w:val="ListNumber"/>
        <w:spacing w:after="60"/>
      </w:pPr>
      <w:r>
        <w:rPr>
          <w:rFonts w:ascii="Aptos" w:hAnsi="Aptos"/>
          <w:b w:val="0"/>
          <w:color w:val="000000"/>
          <w:sz w:val="21"/>
        </w:rPr>
        <w:t>El ControlNode divide lógicamente el archivo en bloques de 8 MiB.</w:t>
      </w:r>
    </w:p>
    <w:p>
      <w:pPr>
        <w:pStyle w:val="ListNumber"/>
        <w:spacing w:after="60"/>
      </w:pPr>
      <w:r>
        <w:rPr>
          <w:rFonts w:ascii="Aptos" w:hAnsi="Aptos"/>
          <w:b w:val="0"/>
          <w:color w:val="000000"/>
          <w:sz w:val="21"/>
        </w:rPr>
        <w:t>El ControlNode selecciona DataNodes elegibles y devuelve un plan con block_id, offset, tamaño y endpoint.</w:t>
      </w:r>
    </w:p>
    <w:p>
      <w:pPr>
        <w:pStyle w:val="ListNumber"/>
        <w:spacing w:after="60"/>
      </w:pPr>
      <w:r>
        <w:rPr>
          <w:rFonts w:ascii="Aptos" w:hAnsi="Aptos"/>
          <w:b w:val="0"/>
          <w:color w:val="000000"/>
          <w:sz w:val="21"/>
        </w:rPr>
        <w:t>El Cliente envía cada bloque directamente al DataNode usando WriteBlock en streaming.</w:t>
      </w:r>
    </w:p>
    <w:p>
      <w:pPr>
        <w:pStyle w:val="ListNumber"/>
        <w:spacing w:after="60"/>
      </w:pPr>
      <w:r>
        <w:rPr>
          <w:rFonts w:ascii="Aptos" w:hAnsi="Aptos"/>
          <w:b w:val="0"/>
          <w:color w:val="000000"/>
          <w:sz w:val="21"/>
        </w:rPr>
        <w:t>El DataNode almacena primero el bloque en un archivo temporal, calcula SHA-256 y reporta ReportBlockStored al ControlNode.</w:t>
      </w:r>
    </w:p>
    <w:p>
      <w:pPr>
        <w:pStyle w:val="ListNumber"/>
        <w:spacing w:after="60"/>
      </w:pPr>
      <w:r>
        <w:rPr>
          <w:rFonts w:ascii="Aptos" w:hAnsi="Aptos"/>
          <w:b w:val="0"/>
          <w:color w:val="000000"/>
          <w:sz w:val="21"/>
        </w:rPr>
        <w:t>El Cliente solicita CommitFile. El ControlNode revisa los reportes y solo marca el archivo como COMMITTED si no faltan bloques.</w:t>
      </w:r>
    </w:p>
    <w:p>
      <w:pPr>
        <w:spacing w:after="0"/>
        <w:ind w:left="173"/>
        <w:shd w:fill="F3F4F6"/>
      </w:pPr>
      <w:r>
        <w:rPr>
          <w:rFonts w:ascii="Courier New" w:hAnsi="Courier New"/>
          <w:b w:val="0"/>
          <w:color w:val="202020"/>
          <w:sz w:val="17"/>
        </w:rPr>
        <w:t>AllocateFile -&gt; BlockPlan[]</w:t>
      </w:r>
    </w:p>
    <w:p>
      <w:pPr>
        <w:spacing w:after="0"/>
        <w:ind w:left="173"/>
        <w:shd w:fill="F3F4F6"/>
      </w:pPr>
      <w:r>
        <w:rPr>
          <w:rFonts w:ascii="Courier New" w:hAnsi="Courier New"/>
          <w:b w:val="0"/>
          <w:color w:val="202020"/>
          <w:sz w:val="17"/>
        </w:rPr>
        <w:t>WriteBlock -&gt; ReportBlockStored -&gt; BlockWriteResponse</w:t>
      </w:r>
    </w:p>
    <w:p>
      <w:pPr>
        <w:spacing w:after="0"/>
        <w:ind w:left="173"/>
        <w:shd w:fill="F3F4F6"/>
      </w:pPr>
      <w:r>
        <w:rPr>
          <w:rFonts w:ascii="Courier New" w:hAnsi="Courier New"/>
          <w:b w:val="0"/>
          <w:color w:val="202020"/>
          <w:sz w:val="17"/>
        </w:rPr>
        <w:t>CommitFile -&gt; COMMITTED o missing_block_ids</w:t>
      </w:r>
    </w:p>
    <w:p>
      <w:pPr>
        <w:pStyle w:val="Heading1"/>
      </w:pPr>
      <w:r>
        <w:rPr>
          <w:rFonts w:ascii="Aptos" w:hAnsi="Aptos"/>
          <w:b/>
          <w:color w:val="000000"/>
          <w:sz w:val="30"/>
        </w:rPr>
        <w:t>5. Flujo de lectura</w:t>
      </w:r>
    </w:p>
    <w:p>
      <w:pPr>
        <w:pStyle w:val="ListNumber"/>
        <w:spacing w:after="60"/>
      </w:pPr>
      <w:r>
        <w:rPr>
          <w:rFonts w:ascii="Aptos" w:hAnsi="Aptos"/>
          <w:b w:val="0"/>
          <w:color w:val="000000"/>
          <w:sz w:val="21"/>
        </w:rPr>
        <w:t>El Cliente solicita el manifiesto del archivo al ControlNode.</w:t>
      </w:r>
    </w:p>
    <w:p>
      <w:pPr>
        <w:pStyle w:val="ListNumber"/>
        <w:spacing w:after="60"/>
      </w:pPr>
      <w:r>
        <w:rPr>
          <w:rFonts w:ascii="Aptos" w:hAnsi="Aptos"/>
          <w:b w:val="0"/>
          <w:color w:val="000000"/>
          <w:sz w:val="21"/>
        </w:rPr>
        <w:t>El ControlNode devuelve los bloques ordenados, sus offsets y el DataNode correspondiente.</w:t>
      </w:r>
    </w:p>
    <w:p>
      <w:pPr>
        <w:pStyle w:val="ListNumber"/>
        <w:spacing w:after="60"/>
      </w:pPr>
      <w:r>
        <w:rPr>
          <w:rFonts w:ascii="Aptos" w:hAnsi="Aptos"/>
          <w:b w:val="0"/>
          <w:color w:val="000000"/>
          <w:sz w:val="21"/>
        </w:rPr>
        <w:t>El Cliente lee los bloques en paralelo mediante ReadBlock.</w:t>
      </w:r>
    </w:p>
    <w:p>
      <w:pPr>
        <w:pStyle w:val="ListNumber"/>
        <w:spacing w:after="60"/>
      </w:pPr>
      <w:r>
        <w:rPr>
          <w:rFonts w:ascii="Aptos" w:hAnsi="Aptos"/>
          <w:b w:val="0"/>
          <w:color w:val="000000"/>
          <w:sz w:val="21"/>
        </w:rPr>
        <w:t>Cada bloque se verifica mediante SHA-256 y se escribe en su offset original usando FileChannel.</w:t>
      </w:r>
    </w:p>
    <w:p>
      <w:pPr>
        <w:pStyle w:val="ListNumber"/>
        <w:spacing w:after="60"/>
      </w:pPr>
      <w:r>
        <w:rPr>
          <w:rFonts w:ascii="Aptos" w:hAnsi="Aptos"/>
          <w:b w:val="0"/>
          <w:color w:val="000000"/>
          <w:sz w:val="21"/>
        </w:rPr>
        <w:t>El archivo reconstruido debe coincidir con el archivo original.</w:t>
      </w:r>
    </w:p>
    <w:p>
      <w:pPr>
        <w:pStyle w:val="Heading1"/>
      </w:pPr>
      <w:r>
        <w:rPr>
          <w:rFonts w:ascii="Aptos" w:hAnsi="Aptos"/>
          <w:b/>
          <w:color w:val="000000"/>
          <w:sz w:val="30"/>
        </w:rPr>
        <w:t>6. Por qué se eligió un bloque de 8 MiB</w:t>
      </w:r>
    </w:p>
    <w:p>
      <w:pPr>
        <w:spacing w:after="120"/>
      </w:pPr>
      <w:r>
        <w:rPr>
          <w:rFonts w:ascii="Aptos" w:hAnsi="Aptos"/>
          <w:b w:val="0"/>
          <w:color w:val="000000"/>
          <w:sz w:val="21"/>
        </w:rPr>
        <w:t>HDFS utiliza bloques grandes en ambientes productivos, pero DFSha se ejecutará en un entorno académico con recursos limitados. Un bloque de 8 MiB reduce la cantidad de llamadas gRPC y filas de metadatos sin hacer demasiado pesadas las pruebas.</w:t>
      </w:r>
    </w:p>
    <w:p>
      <w:pPr>
        <w:spacing w:after="120"/>
      </w:pPr>
      <w:r>
        <w:rPr>
          <w:rFonts w:ascii="Aptos" w:hAnsi="Aptos"/>
          <w:b w:val="0"/>
          <w:color w:val="000000"/>
          <w:sz w:val="21"/>
        </w:rPr>
        <w:t>El valor es configurable. Para un archivo de 20 MiB se obtienen tres bloques: 8 MiB, 8 MiB y 4 MiB.</w:t>
      </w:r>
    </w:p>
    <w:p>
      <w:pPr>
        <w:pStyle w:val="Heading1"/>
      </w:pPr>
      <w:r>
        <w:rPr>
          <w:rFonts w:ascii="Aptos" w:hAnsi="Aptos"/>
          <w:b/>
          <w:color w:val="000000"/>
          <w:sz w:val="30"/>
        </w:rPr>
        <w:t>7. Cómo se asignan los bloques</w:t>
      </w:r>
    </w:p>
    <w:p>
      <w:pPr>
        <w:spacing w:after="120"/>
      </w:pPr>
      <w:r>
        <w:rPr>
          <w:rFonts w:ascii="Aptos" w:hAnsi="Aptos"/>
          <w:b w:val="0"/>
          <w:color w:val="000000"/>
          <w:sz w:val="21"/>
        </w:rPr>
        <w:t>Primero se filtran los DataNodes vivos, no retirados y con espacio suficiente. Después se aplica un reparto por rondas: entre los nodos elegibles se priorizan aquellos que tienen menos bloques del archivo actual. Finalmente se utiliza la puntuación definida por espacio libre, conexiones activas y bloques almacenados.</w:t>
      </w:r>
    </w:p>
    <w:p>
      <w:pPr>
        <w:spacing w:after="0"/>
        <w:ind w:left="173"/>
        <w:shd w:fill="F3F4F6"/>
      </w:pPr>
      <w:r>
        <w:rPr>
          <w:rFonts w:ascii="Courier New" w:hAnsi="Courier New"/>
          <w:b w:val="0"/>
          <w:color w:val="202020"/>
          <w:sz w:val="17"/>
        </w:rPr>
        <w:t>score = 0.60 * free_ratio</w:t>
      </w:r>
    </w:p>
    <w:p>
      <w:pPr>
        <w:spacing w:after="0"/>
        <w:ind w:left="173"/>
        <w:shd w:fill="F3F4F6"/>
      </w:pPr>
      <w:r>
        <w:rPr>
          <w:rFonts w:ascii="Courier New" w:hAnsi="Courier New"/>
          <w:b w:val="0"/>
          <w:color w:val="202020"/>
          <w:sz w:val="17"/>
        </w:rPr>
        <w:t xml:space="preserve">      + 0.25 * (1 - load_ratio)</w:t>
      </w:r>
    </w:p>
    <w:p>
      <w:pPr>
        <w:spacing w:after="0"/>
        <w:ind w:left="173"/>
        <w:shd w:fill="F3F4F6"/>
      </w:pPr>
      <w:r>
        <w:rPr>
          <w:rFonts w:ascii="Courier New" w:hAnsi="Courier New"/>
          <w:b w:val="0"/>
          <w:color w:val="202020"/>
          <w:sz w:val="17"/>
        </w:rPr>
        <w:t xml:space="preserve">      + 0.15 * (1 - block_ratio)</w:t>
      </w:r>
    </w:p>
    <w:p>
      <w:pPr>
        <w:spacing w:after="120"/>
      </w:pPr>
      <w:r>
        <w:rPr>
          <w:rFonts w:ascii="Aptos" w:hAnsi="Aptos"/>
          <w:b w:val="0"/>
          <w:color w:val="000000"/>
          <w:sz w:val="21"/>
        </w:rPr>
        <w:t>La reserva de espacio es importante porque dos clientes pueden solicitar bloques al mismo tiempo. El ControlNode debe reservar el espacio dentro de la misma transacción para evitar sobreasignación.</w:t>
      </w:r>
    </w:p>
    <w:p>
      <w:pPr>
        <w:pStyle w:val="Heading1"/>
      </w:pPr>
      <w:r>
        <w:rPr>
          <w:rFonts w:ascii="Aptos" w:hAnsi="Aptos"/>
          <w:b/>
          <w:color w:val="000000"/>
          <w:sz w:val="30"/>
        </w:rPr>
        <w:t>8. Qué contiene cada archivo</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trPr>
        <w:tc>
          <w:tcPr>
            <w:tcW w:type="dxa" w:w="4968"/>
            <w:vAlign w:val="center"/>
            <w:tcMar>
              <w:top w:w="110" w:type="dxa"/>
              <w:start w:w="110" w:type="dxa"/>
              <w:bottom w:w="110" w:type="dxa"/>
              <w:end w:w="110" w:type="dxa"/>
            </w:tcMar>
            <w:shd w:fill="1F4E78"/>
          </w:tcPr>
          <w:p>
            <w:r>
              <w:rPr>
                <w:rFonts w:ascii="Aptos" w:hAnsi="Aptos"/>
                <w:b/>
                <w:color w:val="FFFFFF"/>
                <w:sz w:val="21"/>
              </w:rPr>
              <w:t>Archivo</w:t>
            </w:r>
          </w:p>
        </w:tc>
        <w:tc>
          <w:tcPr>
            <w:tcW w:type="dxa" w:w="4968"/>
            <w:vAlign w:val="center"/>
            <w:tcMar>
              <w:top w:w="110" w:type="dxa"/>
              <w:start w:w="110" w:type="dxa"/>
              <w:bottom w:w="110" w:type="dxa"/>
              <w:end w:w="110" w:type="dxa"/>
            </w:tcMar>
            <w:shd w:fill="1F4E78"/>
          </w:tcPr>
          <w:p>
            <w:r>
              <w:rPr>
                <w:rFonts w:ascii="Aptos" w:hAnsi="Aptos"/>
                <w:b/>
                <w:color w:val="FFFFFF"/>
                <w:sz w:val="21"/>
              </w:rPr>
              <w:t>Cómo explicarlo</w:t>
            </w:r>
          </w:p>
        </w:tc>
      </w:tr>
      <w:tr>
        <w:tc>
          <w:tcPr>
            <w:tcW w:type="dxa" w:w="4968"/>
            <w:tcMar>
              <w:top w:w="110" w:type="dxa"/>
              <w:start w:w="110" w:type="dxa"/>
              <w:bottom w:w="110" w:type="dxa"/>
              <w:end w:w="110" w:type="dxa"/>
            </w:tcMar>
            <w:vAlign w:val="center"/>
          </w:tcPr>
          <w:p>
            <w:r>
              <w:rPr>
                <w:rFonts w:ascii="Aptos" w:hAnsi="Aptos"/>
                <w:b w:val="0"/>
                <w:color w:val="000000"/>
                <w:sz w:val="19"/>
              </w:rPr>
              <w:t>dfsha.proto</w:t>
            </w:r>
          </w:p>
        </w:tc>
        <w:tc>
          <w:tcPr>
            <w:tcW w:type="dxa" w:w="4968"/>
            <w:tcMar>
              <w:top w:w="110" w:type="dxa"/>
              <w:start w:w="110" w:type="dxa"/>
              <w:bottom w:w="110" w:type="dxa"/>
              <w:end w:w="110" w:type="dxa"/>
            </w:tcMar>
            <w:vAlign w:val="center"/>
          </w:tcPr>
          <w:p>
            <w:r>
              <w:rPr>
                <w:rFonts w:ascii="Aptos" w:hAnsi="Aptos"/>
                <w:b w:val="0"/>
                <w:color w:val="000000"/>
                <w:sz w:val="19"/>
              </w:rPr>
              <w:t>Define los mensajes y servicios gRPC. Es el contrato común entre componentes.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schema.sql</w:t>
            </w:r>
          </w:p>
        </w:tc>
        <w:tc>
          <w:tcPr>
            <w:tcW w:type="dxa" w:w="4968"/>
            <w:tcMar>
              <w:top w:w="110" w:type="dxa"/>
              <w:start w:w="110" w:type="dxa"/>
              <w:bottom w:w="110" w:type="dxa"/>
              <w:end w:w="110" w:type="dxa"/>
            </w:tcMar>
            <w:vAlign w:val="center"/>
            <w:shd w:fill="F4F7FA"/>
          </w:tcPr>
          <w:p>
            <w:r>
              <w:rPr>
                <w:rFonts w:ascii="Aptos" w:hAnsi="Aptos"/>
                <w:b w:val="0"/>
                <w:color w:val="000000"/>
                <w:sz w:val="19"/>
              </w:rPr>
              <w:t>Define el modelo persistente y los estados de usuarios, nodos, archivos y bloques.</w:t>
            </w:r>
          </w:p>
        </w:tc>
      </w:tr>
      <w:tr>
        <w:tc>
          <w:tcPr>
            <w:tcW w:type="dxa" w:w="4968"/>
            <w:tcMar>
              <w:top w:w="110" w:type="dxa"/>
              <w:start w:w="110" w:type="dxa"/>
              <w:bottom w:w="110" w:type="dxa"/>
              <w:end w:w="110" w:type="dxa"/>
            </w:tcMar>
            <w:vAlign w:val="center"/>
          </w:tcPr>
          <w:p>
            <w:r>
              <w:rPr>
                <w:rFonts w:ascii="Aptos" w:hAnsi="Aptos"/>
                <w:b w:val="0"/>
                <w:color w:val="000000"/>
                <w:sz w:val="19"/>
              </w:rPr>
              <w:t>docker-compose.yml</w:t>
            </w:r>
          </w:p>
        </w:tc>
        <w:tc>
          <w:tcPr>
            <w:tcW w:type="dxa" w:w="4968"/>
            <w:tcMar>
              <w:top w:w="110" w:type="dxa"/>
              <w:start w:w="110" w:type="dxa"/>
              <w:bottom w:w="110" w:type="dxa"/>
              <w:end w:w="110" w:type="dxa"/>
            </w:tcMar>
            <w:vAlign w:val="center"/>
          </w:tcPr>
          <w:p>
            <w:r>
              <w:rPr>
                <w:rFonts w:ascii="Aptos" w:hAnsi="Aptos"/>
                <w:b w:val="0"/>
                <w:color w:val="000000"/>
                <w:sz w:val="19"/>
              </w:rPr>
              <w:t>Levanta la infraestructura y publica los endpoints de los DataNodes.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pom.xml</w:t>
            </w:r>
          </w:p>
        </w:tc>
        <w:tc>
          <w:tcPr>
            <w:tcW w:type="dxa" w:w="4968"/>
            <w:tcMar>
              <w:top w:w="110" w:type="dxa"/>
              <w:start w:w="110" w:type="dxa"/>
              <w:bottom w:w="110" w:type="dxa"/>
              <w:end w:w="110" w:type="dxa"/>
            </w:tcMar>
            <w:vAlign w:val="center"/>
            <w:shd w:fill="F4F7FA"/>
          </w:tcPr>
          <w:p>
            <w:r>
              <w:rPr>
                <w:rFonts w:ascii="Aptos" w:hAnsi="Aptos"/>
                <w:b w:val="0"/>
                <w:color w:val="000000"/>
                <w:sz w:val="19"/>
              </w:rPr>
              <w:t>Configura Java 17, generación de stubs y dependencias gRPC.</w:t>
            </w:r>
          </w:p>
        </w:tc>
      </w:tr>
      <w:tr>
        <w:tc>
          <w:tcPr>
            <w:tcW w:type="dxa" w:w="4968"/>
            <w:tcMar>
              <w:top w:w="110" w:type="dxa"/>
              <w:start w:w="110" w:type="dxa"/>
              <w:bottom w:w="110" w:type="dxa"/>
              <w:end w:w="110" w:type="dxa"/>
            </w:tcMar>
            <w:vAlign w:val="center"/>
          </w:tcPr>
          <w:p>
            <w:r>
              <w:rPr>
                <w:rFonts w:ascii="Aptos" w:hAnsi="Aptos"/>
                <w:b w:val="0"/>
                <w:color w:val="000000"/>
                <w:sz w:val="19"/>
              </w:rPr>
              <w:t>ControlNodeMain.java</w:t>
            </w:r>
          </w:p>
        </w:tc>
        <w:tc>
          <w:tcPr>
            <w:tcW w:type="dxa" w:w="4968"/>
            <w:tcMar>
              <w:top w:w="110" w:type="dxa"/>
              <w:start w:w="110" w:type="dxa"/>
              <w:bottom w:w="110" w:type="dxa"/>
              <w:end w:w="110" w:type="dxa"/>
            </w:tcMar>
            <w:vAlign w:val="center"/>
          </w:tcPr>
          <w:p>
            <w:r>
              <w:rPr>
                <w:rFonts w:ascii="Aptos" w:hAnsi="Aptos"/>
                <w:b w:val="0"/>
                <w:color w:val="000000"/>
                <w:sz w:val="19"/>
              </w:rPr>
              <w:t>Bootstrap que registra nodos, crea planes y procesa confirmaciones.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DataNodeMain.java</w:t>
            </w:r>
          </w:p>
        </w:tc>
        <w:tc>
          <w:tcPr>
            <w:tcW w:type="dxa" w:w="4968"/>
            <w:tcMar>
              <w:top w:w="110" w:type="dxa"/>
              <w:start w:w="110" w:type="dxa"/>
              <w:bottom w:w="110" w:type="dxa"/>
              <w:end w:w="110" w:type="dxa"/>
            </w:tcMar>
            <w:vAlign w:val="center"/>
            <w:shd w:fill="F4F7FA"/>
          </w:tcPr>
          <w:p>
            <w:r>
              <w:rPr>
                <w:rFonts w:ascii="Aptos" w:hAnsi="Aptos"/>
                <w:b w:val="0"/>
                <w:color w:val="000000"/>
                <w:sz w:val="19"/>
              </w:rPr>
              <w:t>Bootstrap que registra el nodo, envía heartbeats y almacena bloques.</w:t>
            </w:r>
          </w:p>
        </w:tc>
      </w:tr>
      <w:tr>
        <w:tc>
          <w:tcPr>
            <w:tcW w:type="dxa" w:w="4968"/>
            <w:tcMar>
              <w:top w:w="110" w:type="dxa"/>
              <w:start w:w="110" w:type="dxa"/>
              <w:bottom w:w="110" w:type="dxa"/>
              <w:end w:w="110" w:type="dxa"/>
            </w:tcMar>
            <w:vAlign w:val="center"/>
          </w:tcPr>
          <w:p>
            <w:r>
              <w:rPr>
                <w:rFonts w:ascii="Aptos" w:hAnsi="Aptos"/>
                <w:b w:val="0"/>
                <w:color w:val="000000"/>
                <w:sz w:val="19"/>
              </w:rPr>
              <w:t>CAMBIOS.md</w:t>
            </w:r>
          </w:p>
        </w:tc>
        <w:tc>
          <w:tcPr>
            <w:tcW w:type="dxa" w:w="4968"/>
            <w:tcMar>
              <w:top w:w="110" w:type="dxa"/>
              <w:start w:w="110" w:type="dxa"/>
              <w:bottom w:w="110" w:type="dxa"/>
              <w:end w:w="110" w:type="dxa"/>
            </w:tcMar>
            <w:vAlign w:val="center"/>
          </w:tcPr>
          <w:p>
            <w:r>
              <w:rPr>
                <w:rFonts w:ascii="Aptos" w:hAnsi="Aptos"/>
                <w:b w:val="0"/>
                <w:color w:val="000000"/>
                <w:sz w:val="19"/>
              </w:rPr>
              <w:t>Explica las correcciones aplicadas al diseño original.</w:t>
            </w:r>
          </w:p>
        </w:tc>
      </w:tr>
    </w:tbl>
    <w:p/>
    <w:p>
      <w:pPr>
        <w:pStyle w:val="Heading1"/>
      </w:pPr>
      <w:r>
        <w:rPr>
          <w:rFonts w:ascii="Aptos" w:hAnsi="Aptos"/>
          <w:b/>
          <w:color w:val="000000"/>
          <w:sz w:val="30"/>
        </w:rPr>
        <w:t>9. Qué está implementado y qué falta</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trPr>
        <w:tc>
          <w:tcPr>
            <w:tcW w:type="dxa" w:w="4968"/>
            <w:vAlign w:val="center"/>
            <w:tcMar>
              <w:top w:w="110" w:type="dxa"/>
              <w:start w:w="110" w:type="dxa"/>
              <w:bottom w:w="110" w:type="dxa"/>
              <w:end w:w="110" w:type="dxa"/>
            </w:tcMar>
            <w:shd w:fill="1F4E78"/>
          </w:tcPr>
          <w:p>
            <w:r>
              <w:rPr>
                <w:rFonts w:ascii="Aptos" w:hAnsi="Aptos"/>
                <w:b/>
                <w:color w:val="FFFFFF"/>
                <w:sz w:val="21"/>
              </w:rPr>
              <w:t>Estado</w:t>
            </w:r>
          </w:p>
        </w:tc>
        <w:tc>
          <w:tcPr>
            <w:tcW w:type="dxa" w:w="4968"/>
            <w:vAlign w:val="center"/>
            <w:tcMar>
              <w:top w:w="110" w:type="dxa"/>
              <w:start w:w="110" w:type="dxa"/>
              <w:bottom w:w="110" w:type="dxa"/>
              <w:end w:w="110" w:type="dxa"/>
            </w:tcMar>
            <w:shd w:fill="1F4E78"/>
          </w:tcPr>
          <w:p>
            <w:r>
              <w:rPr>
                <w:rFonts w:ascii="Aptos" w:hAnsi="Aptos"/>
                <w:b/>
                <w:color w:val="FFFFFF"/>
                <w:sz w:val="21"/>
              </w:rPr>
              <w:t>Elementos</w:t>
            </w:r>
          </w:p>
        </w:tc>
      </w:tr>
      <w:tr>
        <w:tc>
          <w:tcPr>
            <w:tcW w:type="dxa" w:w="4968"/>
            <w:tcMar>
              <w:top w:w="110" w:type="dxa"/>
              <w:start w:w="110" w:type="dxa"/>
              <w:bottom w:w="110" w:type="dxa"/>
              <w:end w:w="110" w:type="dxa"/>
            </w:tcMar>
            <w:vAlign w:val="center"/>
          </w:tcPr>
          <w:p>
            <w:r>
              <w:rPr>
                <w:rFonts w:ascii="Aptos" w:hAnsi="Aptos"/>
                <w:b w:val="0"/>
                <w:color w:val="000000"/>
                <w:sz w:val="19"/>
              </w:rPr>
              <w:t>Implementado como bootstrap</w:t>
            </w:r>
          </w:p>
        </w:tc>
        <w:tc>
          <w:tcPr>
            <w:tcW w:type="dxa" w:w="4968"/>
            <w:tcMar>
              <w:top w:w="110" w:type="dxa"/>
              <w:start w:w="110" w:type="dxa"/>
              <w:bottom w:w="110" w:type="dxa"/>
              <w:end w:w="110" w:type="dxa"/>
            </w:tcMar>
            <w:vAlign w:val="center"/>
          </w:tcPr>
          <w:p>
            <w:r>
              <w:rPr>
                <w:rFonts w:ascii="Aptos" w:hAnsi="Aptos"/>
                <w:b w:val="0"/>
                <w:color w:val="000000"/>
                <w:sz w:val="19"/>
              </w:rPr>
              <w:t>Contrato gRPC, servidores Java, registro de DataNodes, heartbeat, asignación básica, escritura de bloques, checksum y commit.</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Preparado en infraestructura</w:t>
            </w:r>
          </w:p>
        </w:tc>
        <w:tc>
          <w:tcPr>
            <w:tcW w:type="dxa" w:w="4968"/>
            <w:tcMar>
              <w:top w:w="110" w:type="dxa"/>
              <w:start w:w="110" w:type="dxa"/>
              <w:bottom w:w="110" w:type="dxa"/>
              <w:end w:w="110" w:type="dxa"/>
            </w:tcMar>
            <w:vAlign w:val="center"/>
            <w:shd w:fill="F4F7FA"/>
          </w:tcPr>
          <w:p>
            <w:r>
              <w:rPr>
                <w:rFonts w:ascii="Aptos" w:hAnsi="Aptos"/>
                <w:b w:val="0"/>
                <w:color w:val="000000"/>
                <w:sz w:val="19"/>
              </w:rPr>
              <w:t>PostgreSQL, RabbitMQ, Docker Compose, esquema SQL y Dockerfiles.</w:t>
            </w:r>
          </w:p>
        </w:tc>
      </w:tr>
      <w:tr>
        <w:tc>
          <w:tcPr>
            <w:tcW w:type="dxa" w:w="4968"/>
            <w:tcMar>
              <w:top w:w="110" w:type="dxa"/>
              <w:start w:w="110" w:type="dxa"/>
              <w:bottom w:w="110" w:type="dxa"/>
              <w:end w:w="110" w:type="dxa"/>
            </w:tcMar>
            <w:vAlign w:val="center"/>
          </w:tcPr>
          <w:p>
            <w:r>
              <w:rPr>
                <w:rFonts w:ascii="Aptos" w:hAnsi="Aptos"/>
                <w:b w:val="0"/>
                <w:color w:val="000000"/>
                <w:sz w:val="19"/>
              </w:rPr>
              <w:t>Pendiente de integración</w:t>
            </w:r>
          </w:p>
        </w:tc>
        <w:tc>
          <w:tcPr>
            <w:tcW w:type="dxa" w:w="4968"/>
            <w:tcMar>
              <w:top w:w="110" w:type="dxa"/>
              <w:start w:w="110" w:type="dxa"/>
              <w:bottom w:w="110" w:type="dxa"/>
              <w:end w:w="110" w:type="dxa"/>
            </w:tcMar>
            <w:vAlign w:val="center"/>
          </w:tcPr>
          <w:p>
            <w:r>
              <w:rPr>
                <w:rFonts w:ascii="Aptos" w:hAnsi="Aptos"/>
                <w:b w:val="0"/>
                <w:color w:val="000000"/>
                <w:sz w:val="19"/>
              </w:rPr>
              <w:t>Repositorios JDBC, consumidores RabbitMQ, cliente de reconstrucción, logging JSON y pruebas completas.</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Hito 3</w:t>
            </w:r>
          </w:p>
        </w:tc>
        <w:tc>
          <w:tcPr>
            <w:tcW w:type="dxa" w:w="4968"/>
            <w:tcMar>
              <w:top w:w="110" w:type="dxa"/>
              <w:start w:w="110" w:type="dxa"/>
              <w:bottom w:w="110" w:type="dxa"/>
              <w:end w:w="110" w:type="dxa"/>
            </w:tcMar>
            <w:vAlign w:val="center"/>
            <w:shd w:fill="F4F7FA"/>
          </w:tcPr>
          <w:p>
            <w:r>
              <w:rPr>
                <w:rFonts w:ascii="Aptos" w:hAnsi="Aptos"/>
                <w:b w:val="0"/>
                <w:color w:val="000000"/>
                <w:sz w:val="19"/>
              </w:rPr>
              <w:t>Replicación, re-replicación, failover, TLS/mTLS, cifrado en reposo y rebalanceo.</w:t>
            </w:r>
          </w:p>
        </w:tc>
      </w:tr>
    </w:tbl>
    <w:p/>
    <w:p>
      <w:pPr>
        <w:spacing w:after="120"/>
      </w:pPr>
      <w:r>
        <w:rPr>
          <w:rFonts w:ascii="Aptos" w:hAnsi="Aptos"/>
          <w:b w:val="0"/>
          <w:color w:val="000000"/>
          <w:sz w:val="21"/>
        </w:rPr>
        <w:t>Es importante explicar esta diferencia con honestidad: el Hito 2 deja definidos los contratos, la arquitectura y un bootstrap funcional; no representa todavía un sistema distribuido terminado ni tolerante a fallos.</w:t>
      </w:r>
    </w:p>
    <w:p>
      <w:pPr>
        <w:pStyle w:val="Heading1"/>
      </w:pPr>
      <w:r>
        <w:rPr>
          <w:rFonts w:ascii="Aptos" w:hAnsi="Aptos"/>
          <w:b/>
          <w:color w:val="000000"/>
          <w:sz w:val="30"/>
        </w:rPr>
        <w:t>10. Cómo ejecutar la demostración</w:t>
      </w:r>
    </w:p>
    <w:p>
      <w:pPr>
        <w:pStyle w:val="ListNumber"/>
        <w:spacing w:after="60"/>
      </w:pPr>
      <w:r>
        <w:rPr>
          <w:rFonts w:ascii="Aptos" w:hAnsi="Aptos"/>
          <w:b w:val="0"/>
          <w:color w:val="000000"/>
          <w:sz w:val="21"/>
        </w:rPr>
        <w:t>Entrar a la carpeta hito2.</w:t>
      </w:r>
    </w:p>
    <w:p>
      <w:pPr>
        <w:pStyle w:val="ListNumber"/>
        <w:spacing w:after="60"/>
      </w:pPr>
      <w:r>
        <w:rPr>
          <w:rFonts w:ascii="Aptos" w:hAnsi="Aptos"/>
          <w:b w:val="0"/>
          <w:color w:val="000000"/>
          <w:sz w:val="21"/>
        </w:rPr>
        <w:t>Copiar env.example como .env.</w:t>
      </w:r>
    </w:p>
    <w:p>
      <w:pPr>
        <w:pStyle w:val="ListNumber"/>
        <w:spacing w:after="60"/>
      </w:pPr>
      <w:r>
        <w:rPr>
          <w:rFonts w:ascii="Aptos" w:hAnsi="Aptos"/>
          <w:b w:val="0"/>
          <w:color w:val="000000"/>
          <w:sz w:val="21"/>
        </w:rPr>
        <w:t>Ejecutar bash gen-secrets.sh.</w:t>
      </w:r>
    </w:p>
    <w:p>
      <w:pPr>
        <w:pStyle w:val="ListNumber"/>
        <w:spacing w:after="60"/>
      </w:pPr>
      <w:r>
        <w:rPr>
          <w:rFonts w:ascii="Aptos" w:hAnsi="Aptos"/>
          <w:b w:val="0"/>
          <w:color w:val="000000"/>
          <w:sz w:val="21"/>
        </w:rPr>
        <w:t>Validar la configuración con docker compose config.</w:t>
      </w:r>
    </w:p>
    <w:p>
      <w:pPr>
        <w:pStyle w:val="ListNumber"/>
        <w:spacing w:after="60"/>
      </w:pPr>
      <w:r>
        <w:rPr>
          <w:rFonts w:ascii="Aptos" w:hAnsi="Aptos"/>
          <w:b w:val="0"/>
          <w:color w:val="000000"/>
          <w:sz w:val="21"/>
        </w:rPr>
        <w:t>Levantar los servicios con docker compose up --build.</w:t>
      </w:r>
    </w:p>
    <w:p>
      <w:pPr>
        <w:pStyle w:val="ListNumber"/>
        <w:spacing w:after="60"/>
      </w:pPr>
      <w:r>
        <w:rPr>
          <w:rFonts w:ascii="Aptos" w:hAnsi="Aptos"/>
          <w:b w:val="0"/>
          <w:color w:val="000000"/>
          <w:sz w:val="21"/>
        </w:rPr>
        <w:t>Comprobar que el ControlNode escuche en 50051 y los DataNodes en 50061, 50062 y 50063.</w:t>
      </w:r>
    </w:p>
    <w:p>
      <w:pPr>
        <w:spacing w:after="120"/>
      </w:pPr>
      <w:r>
        <w:rPr>
          <w:rFonts w:ascii="Aptos" w:hAnsi="Aptos"/>
          <w:b w:val="0"/>
          <w:color w:val="000000"/>
          <w:sz w:val="21"/>
        </w:rPr>
        <w:t>La demostración ideal consiste en registrar tres DataNodes, subir un archivo de 20 MiB, mostrar el plan de tres bloques, observar los reportes de almacenamiento y comprobar que CommitFile solo finaliza cuando todos los bloques fueron reportados.</w:t>
      </w:r>
    </w:p>
    <w:p>
      <w:pPr>
        <w:pStyle w:val="Heading1"/>
      </w:pPr>
      <w:r>
        <w:rPr>
          <w:rFonts w:ascii="Aptos" w:hAnsi="Aptos"/>
          <w:b/>
          <w:color w:val="000000"/>
          <w:sz w:val="30"/>
        </w:rPr>
        <w:t>11. Guion breve para la sustentación</w:t>
      </w:r>
    </w:p>
    <w:p>
      <w:pPr>
        <w:spacing w:after="120"/>
      </w:pPr>
      <w:r>
        <w:rPr>
          <w:rFonts w:ascii="Aptos" w:hAnsi="Aptos"/>
          <w:b w:val="0"/>
          <w:color w:val="000000"/>
          <w:sz w:val="21"/>
        </w:rPr>
        <w:t>DFSha es un sistema de archivos distribuido basado en bloques. El Cliente no necesita conocer la ubicación física de los datos. El ControlNode mantiene los metadatos y decide dónde ubicar cada bloque, mientras que los DataNodes almacenan y transfieren los bytes.</w:t>
      </w:r>
    </w:p>
    <w:p>
      <w:pPr>
        <w:spacing w:after="120"/>
      </w:pPr>
      <w:r>
        <w:rPr>
          <w:rFonts w:ascii="Aptos" w:hAnsi="Aptos"/>
          <w:b w:val="0"/>
          <w:color w:val="000000"/>
          <w:sz w:val="21"/>
        </w:rPr>
        <w:t>En este hito cerramos el tamaño de bloque, la estrategia de asignación, los contratos gRPC, el esquema PostgreSQL y el despliegue Docker. La mejora más importante frente al diseño inicial es que el commit ya no confía solamente en el Cliente: cada DataNode reporta al ControlNode que realmente almacenó el bloque.</w:t>
      </w:r>
    </w:p>
    <w:p>
      <w:pPr>
        <w:spacing w:after="120"/>
      </w:pPr>
      <w:r>
        <w:rPr>
          <w:rFonts w:ascii="Aptos" w:hAnsi="Aptos"/>
          <w:b w:val="0"/>
          <w:color w:val="000000"/>
          <w:sz w:val="21"/>
        </w:rPr>
        <w:t>El sistema todavía no incluye replicación ni failover, porque esos temas pertenecen al Hito 3. El bootstrap permite validar la comunicación y el flujo principal antes de conectar la persistencia y los eventos asíncronos definitivos.</w:t>
      </w:r>
    </w:p>
    <w:p>
      <w:pPr>
        <w:pStyle w:val="Heading1"/>
      </w:pPr>
      <w:r>
        <w:rPr>
          <w:rFonts w:ascii="Aptos" w:hAnsi="Aptos"/>
          <w:b/>
          <w:color w:val="000000"/>
          <w:sz w:val="30"/>
        </w:rPr>
        <w:t>12. Preguntas probables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trPr>
        <w:tc>
          <w:tcPr>
            <w:tcW w:type="dxa" w:w="4968"/>
            <w:vAlign w:val="center"/>
            <w:tcMar>
              <w:top w:w="110" w:type="dxa"/>
              <w:start w:w="110" w:type="dxa"/>
              <w:bottom w:w="110" w:type="dxa"/>
              <w:end w:w="110" w:type="dxa"/>
            </w:tcMar>
            <w:shd w:fill="1F4E78"/>
          </w:tcPr>
          <w:p>
            <w:r>
              <w:rPr>
                <w:rFonts w:ascii="Aptos" w:hAnsi="Aptos"/>
                <w:b/>
                <w:color w:val="FFFFFF"/>
                <w:sz w:val="21"/>
              </w:rPr>
              <w:t>Pregunta</w:t>
            </w:r>
          </w:p>
        </w:tc>
        <w:tc>
          <w:tcPr>
            <w:tcW w:type="dxa" w:w="4968"/>
            <w:vAlign w:val="center"/>
            <w:tcMar>
              <w:top w:w="110" w:type="dxa"/>
              <w:start w:w="110" w:type="dxa"/>
              <w:bottom w:w="110" w:type="dxa"/>
              <w:end w:w="110" w:type="dxa"/>
            </w:tcMar>
            <w:shd w:fill="1F4E78"/>
          </w:tcPr>
          <w:p>
            <w:r>
              <w:rPr>
                <w:rFonts w:ascii="Aptos" w:hAnsi="Aptos"/>
                <w:b/>
                <w:color w:val="FFFFFF"/>
                <w:sz w:val="21"/>
              </w:rPr>
              <w:t>Respuesta sugerida</w:t>
            </w:r>
          </w:p>
        </w:tc>
      </w:tr>
      <w:tr>
        <w:tc>
          <w:tcPr>
            <w:tcW w:type="dxa" w:w="4968"/>
            <w:tcMar>
              <w:top w:w="110" w:type="dxa"/>
              <w:start w:w="110" w:type="dxa"/>
              <w:bottom w:w="110" w:type="dxa"/>
              <w:end w:w="110" w:type="dxa"/>
            </w:tcMar>
            <w:vAlign w:val="center"/>
          </w:tcPr>
          <w:p>
            <w:r>
              <w:rPr>
                <w:rFonts w:ascii="Aptos" w:hAnsi="Aptos"/>
                <w:b w:val="0"/>
                <w:color w:val="000000"/>
                <w:sz w:val="19"/>
              </w:rPr>
              <w:t>¿Por qué el Cliente no decide el DataNode?</w:t>
            </w:r>
          </w:p>
        </w:tc>
        <w:tc>
          <w:tcPr>
            <w:tcW w:type="dxa" w:w="4968"/>
            <w:tcMar>
              <w:top w:w="110" w:type="dxa"/>
              <w:start w:w="110" w:type="dxa"/>
              <w:bottom w:w="110" w:type="dxa"/>
              <w:end w:w="110" w:type="dxa"/>
            </w:tcMar>
            <w:vAlign w:val="center"/>
          </w:tcPr>
          <w:p>
            <w:r>
              <w:rPr>
                <w:rFonts w:ascii="Aptos" w:hAnsi="Aptos"/>
                <w:b w:val="0"/>
                <w:color w:val="000000"/>
                <w:sz w:val="19"/>
              </w:rPr>
              <w:t>Porque el ControlNode conoce el estado global del clúster, el espacio disponible y la carga de cada nodo.</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¿Por qué no enviar el archivo completo al ControlNode?</w:t>
            </w:r>
          </w:p>
        </w:tc>
        <w:tc>
          <w:tcPr>
            <w:tcW w:type="dxa" w:w="4968"/>
            <w:tcMar>
              <w:top w:w="110" w:type="dxa"/>
              <w:start w:w="110" w:type="dxa"/>
              <w:bottom w:w="110" w:type="dxa"/>
              <w:end w:w="110" w:type="dxa"/>
            </w:tcMar>
            <w:vAlign w:val="center"/>
            <w:shd w:fill="F4F7FA"/>
          </w:tcPr>
          <w:p>
            <w:r>
              <w:rPr>
                <w:rFonts w:ascii="Aptos" w:hAnsi="Aptos"/>
                <w:b w:val="0"/>
                <w:color w:val="000000"/>
                <w:sz w:val="19"/>
              </w:rPr>
              <w:t>Porque convertiría al ControlNode en cuello de botella. El Cliente transfiere los bloques directamente a los DataNodes.</w:t>
            </w:r>
          </w:p>
        </w:tc>
      </w:tr>
      <w:tr>
        <w:tc>
          <w:tcPr>
            <w:tcW w:type="dxa" w:w="4968"/>
            <w:tcMar>
              <w:top w:w="110" w:type="dxa"/>
              <w:start w:w="110" w:type="dxa"/>
              <w:bottom w:w="110" w:type="dxa"/>
              <w:end w:w="110" w:type="dxa"/>
            </w:tcMar>
            <w:vAlign w:val="center"/>
          </w:tcPr>
          <w:p>
            <w:r>
              <w:rPr>
                <w:rFonts w:ascii="Aptos" w:hAnsi="Aptos"/>
                <w:b w:val="0"/>
                <w:color w:val="000000"/>
                <w:sz w:val="19"/>
              </w:rPr>
              <w:t>¿Qué pasa si falta un bloque?</w:t>
            </w:r>
          </w:p>
        </w:tc>
        <w:tc>
          <w:tcPr>
            <w:tcW w:type="dxa" w:w="4968"/>
            <w:tcMar>
              <w:top w:w="110" w:type="dxa"/>
              <w:start w:w="110" w:type="dxa"/>
              <w:bottom w:w="110" w:type="dxa"/>
              <w:end w:w="110" w:type="dxa"/>
            </w:tcMar>
            <w:vAlign w:val="center"/>
          </w:tcPr>
          <w:p>
            <w:r>
              <w:rPr>
                <w:rFonts w:ascii="Aptos" w:hAnsi="Aptos"/>
                <w:b w:val="0"/>
                <w:color w:val="000000"/>
                <w:sz w:val="19"/>
              </w:rPr>
              <w:t>CommitFile devuelve missing_block_ids y el archivo permanece en estado PENDING.</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¿Por qué se usa operation_id?</w:t>
            </w:r>
          </w:p>
        </w:tc>
        <w:tc>
          <w:tcPr>
            <w:tcW w:type="dxa" w:w="4968"/>
            <w:tcMar>
              <w:top w:w="110" w:type="dxa"/>
              <w:start w:w="110" w:type="dxa"/>
              <w:bottom w:w="110" w:type="dxa"/>
              <w:end w:w="110" w:type="dxa"/>
            </w:tcMar>
            <w:vAlign w:val="center"/>
            <w:shd w:fill="F4F7FA"/>
          </w:tcPr>
          <w:p>
            <w:r>
              <w:rPr>
                <w:rFonts w:ascii="Aptos" w:hAnsi="Aptos"/>
                <w:b w:val="0"/>
                <w:color w:val="000000"/>
                <w:sz w:val="19"/>
              </w:rPr>
              <w:t>Para hacer AllocateFile idempotente y evitar duplicar un archivo si el Cliente reintenta la misma solicitud.</w:t>
            </w:r>
          </w:p>
        </w:tc>
      </w:tr>
      <w:tr>
        <w:tc>
          <w:tcPr>
            <w:tcW w:type="dxa" w:w="4968"/>
            <w:tcMar>
              <w:top w:w="110" w:type="dxa"/>
              <w:start w:w="110" w:type="dxa"/>
              <w:bottom w:w="110" w:type="dxa"/>
              <w:end w:w="110" w:type="dxa"/>
            </w:tcMar>
            <w:vAlign w:val="center"/>
          </w:tcPr>
          <w:p>
            <w:r>
              <w:rPr>
                <w:rFonts w:ascii="Aptos" w:hAnsi="Aptos"/>
                <w:b w:val="0"/>
                <w:color w:val="000000"/>
                <w:sz w:val="19"/>
              </w:rPr>
              <w:t>¿Por qué todavía no hay réplicas?</w:t>
            </w:r>
          </w:p>
        </w:tc>
        <w:tc>
          <w:tcPr>
            <w:tcW w:type="dxa" w:w="4968"/>
            <w:tcMar>
              <w:top w:w="110" w:type="dxa"/>
              <w:start w:w="110" w:type="dxa"/>
              <w:bottom w:w="110" w:type="dxa"/>
              <w:end w:w="110" w:type="dxa"/>
            </w:tcMar>
            <w:vAlign w:val="center"/>
          </w:tcPr>
          <w:p>
            <w:r>
              <w:rPr>
                <w:rFonts w:ascii="Aptos" w:hAnsi="Aptos"/>
                <w:b w:val="0"/>
                <w:color w:val="000000"/>
                <w:sz w:val="19"/>
              </w:rPr>
              <w:t>La replicación, la re-replicación y la selección de réplicas forman parte del Hito 3.</w:t>
            </w:r>
          </w:p>
        </w:tc>
      </w:tr>
      <w:tr>
        <w:tc>
          <w:tcPr>
            <w:tcW w:type="dxa" w:w="4968"/>
            <w:tcMar>
              <w:top w:w="110" w:type="dxa"/>
              <w:start w:w="110" w:type="dxa"/>
              <w:bottom w:w="110" w:type="dxa"/>
              <w:end w:w="110" w:type="dxa"/>
            </w:tcMar>
            <w:vAlign w:val="center"/>
            <w:shd w:fill="F4F7FA"/>
          </w:tcPr>
          <w:p>
            <w:r>
              <w:rPr>
                <w:rFonts w:ascii="Aptos" w:hAnsi="Aptos"/>
                <w:b w:val="0"/>
                <w:color w:val="000000"/>
                <w:sz w:val="19"/>
              </w:rPr>
              <w:t>¿El sistema ya es seguro?</w:t>
            </w:r>
          </w:p>
        </w:tc>
        <w:tc>
          <w:tcPr>
            <w:tcW w:type="dxa" w:w="4968"/>
            <w:tcMar>
              <w:top w:w="110" w:type="dxa"/>
              <w:start w:w="110" w:type="dxa"/>
              <w:bottom w:w="110" w:type="dxa"/>
              <w:end w:w="110" w:type="dxa"/>
            </w:tcMar>
            <w:vAlign w:val="center"/>
            <w:shd w:fill="F4F7FA"/>
          </w:tcPr>
          <w:p>
            <w:r>
              <w:rPr>
                <w:rFonts w:ascii="Aptos" w:hAnsi="Aptos"/>
                <w:b w:val="0"/>
                <w:color w:val="000000"/>
                <w:sz w:val="19"/>
              </w:rPr>
              <w:t>Tiene una base de autenticación y autorización, pero TLS/mTLS y la firma Ed25519 real todavía deben integrarse.</w:t>
            </w:r>
          </w:p>
        </w:tc>
      </w:tr>
      <w:tr>
        <w:tc>
          <w:tcPr>
            <w:tcW w:type="dxa" w:w="4968"/>
            <w:tcMar>
              <w:top w:w="110" w:type="dxa"/>
              <w:start w:w="110" w:type="dxa"/>
              <w:bottom w:w="110" w:type="dxa"/>
              <w:end w:w="110" w:type="dxa"/>
            </w:tcMar>
            <w:vAlign w:val="center"/>
          </w:tcPr>
          <w:p>
            <w:r>
              <w:rPr>
                <w:rFonts w:ascii="Aptos" w:hAnsi="Aptos"/>
                <w:b w:val="0"/>
                <w:color w:val="000000"/>
                <w:sz w:val="19"/>
              </w:rPr>
              <w:t>¿Qué ventaja ofrece gRPC?</w:t>
            </w:r>
          </w:p>
        </w:tc>
        <w:tc>
          <w:tcPr>
            <w:tcW w:type="dxa" w:w="4968"/>
            <w:tcMar>
              <w:top w:w="110" w:type="dxa"/>
              <w:start w:w="110" w:type="dxa"/>
              <w:bottom w:w="110" w:type="dxa"/>
              <w:end w:w="110" w:type="dxa"/>
            </w:tcMar>
            <w:vAlign w:val="center"/>
          </w:tcPr>
          <w:p>
            <w:r>
              <w:rPr>
                <w:rFonts w:ascii="Aptos" w:hAnsi="Aptos"/>
                <w:b w:val="0"/>
                <w:color w:val="000000"/>
                <w:sz w:val="19"/>
              </w:rPr>
              <w:t>Usa Protocol Buffers, contratos tipados, HTTP/2 y streaming binario, apropiados para transferir bloques.</w:t>
            </w:r>
          </w:p>
        </w:tc>
      </w:tr>
    </w:tbl>
    <w:p/>
    <w:p>
      <w:pPr>
        <w:pStyle w:val="Heading1"/>
      </w:pPr>
      <w:r>
        <w:rPr>
          <w:rFonts w:ascii="Aptos" w:hAnsi="Aptos"/>
          <w:b/>
          <w:color w:val="000000"/>
          <w:sz w:val="30"/>
        </w:rPr>
        <w:t>13. Mensaje final</w:t>
      </w:r>
    </w:p>
    <w:p>
      <w:pPr>
        <w:spacing w:after="120"/>
      </w:pPr>
      <w:r>
        <w:rPr>
          <w:rFonts w:ascii="Aptos" w:hAnsi="Aptos"/>
          <w:b w:val="0"/>
          <w:color w:val="000000"/>
          <w:sz w:val="21"/>
        </w:rPr>
        <w:t>El Hito 2 transforma la propuesta conceptual de DFSha en una especificación técnica implementable. Define qué componentes existen, cómo se comunican, cómo se dividen los archivos, cómo se registra la ubicación de los bloques y cómo se valida una escritura. La siguiente etapa consiste en reemplazar el bootstrap en memoria por persistencia y mensajería reales, y después abordar la tolerancia a fallos del Hito 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 xml:space="preserve">DFSha - Guía de explicación del Hito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Explicación del Hito 2 de DFSha</dc:title>
  <dc:subject>Guía para comprender y sustentar el Hito 2</dc:subject>
  <dc:creator>Equipo DFSha</dc:creator>
  <cp:keywords/>
  <dc:description>generated by python-docx</dc:description>
  <cp:lastModifiedBy/>
  <cp:revision>1</cp:revision>
  <dcterms:created xsi:type="dcterms:W3CDTF">2013-12-23T23:15:00Z</dcterms:created>
  <dcterms:modified xsi:type="dcterms:W3CDTF">2013-12-23T23:15:00Z</dcterms:modified>
  <cp:category/>
</cp:coreProperties>
</file>