
<file path=[Content_Types].xml><?xml version="1.0" encoding="utf-8"?>
<Types xmlns="http://schemas.openxmlformats.org/package/2006/content-types">
  <Override PartName="/word/printerSettings/printerSettings1.bin" ContentType="application/vnd.openxmlformats-officedocument.wordprocessingml.printerSetting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printerSettings/printerSettings2.bin" ContentType="application/vnd.openxmlformats-officedocument.wordprocessingml.printerSettings"/>
  <Default Extension="jpeg" ContentType="image/jpeg"/>
  <Default Extension="xml" ContentType="application/xml"/>
  <Default Extension="bin" ContentType="application/vnd.openxmlformats-officedocument.oleObject"/>
  <Default Extension="pdf" ContentType="application/pdf"/>
  <Override PartName="/word/webSettings.xml" ContentType="application/vnd.openxmlformats-officedocument.wordprocessingml.webSettings+xml"/>
  <Default Extension="png" ContentType="image/png"/>
  <Override PartName="/word/printerSettings/printerSettings3.bin" ContentType="application/vnd.openxmlformats-officedocument.wordprocessingml.printerSettings"/>
  <Default Extension="pict" ContentType="image/pict"/>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A2F" w:rsidRPr="003F3B3C" w:rsidRDefault="00E34A2F" w:rsidP="00D733AE">
      <w:pPr>
        <w:spacing w:after="120" w:line="480" w:lineRule="auto"/>
      </w:pPr>
    </w:p>
    <w:p w:rsidR="004142E1" w:rsidRPr="003F3B3C" w:rsidRDefault="00791B03" w:rsidP="00D733AE">
      <w:pPr>
        <w:spacing w:after="120" w:line="480" w:lineRule="auto"/>
        <w:jc w:val="both"/>
        <w:rPr>
          <w:rFonts w:cs="URW Palladio L"/>
          <w:b/>
          <w:bCs/>
          <w:color w:val="000000"/>
          <w:szCs w:val="28"/>
        </w:rPr>
      </w:pPr>
      <w:r>
        <w:rPr>
          <w:rFonts w:cs="URW Palladio L"/>
          <w:b/>
          <w:bCs/>
          <w:color w:val="000000"/>
          <w:szCs w:val="28"/>
        </w:rPr>
        <w:t>Multisite monthly</w:t>
      </w:r>
      <w:r w:rsidR="00E34A2F" w:rsidRPr="003F3B3C">
        <w:rPr>
          <w:rFonts w:cs="URW Palladio L"/>
          <w:b/>
          <w:bCs/>
          <w:color w:val="000000"/>
          <w:szCs w:val="28"/>
        </w:rPr>
        <w:t xml:space="preserve"> ensemble forecast: Application to twenty si</w:t>
      </w:r>
      <w:r w:rsidR="004142E1" w:rsidRPr="003F3B3C">
        <w:rPr>
          <w:rFonts w:cs="URW Palladio L"/>
          <w:b/>
          <w:bCs/>
          <w:color w:val="000000"/>
          <w:szCs w:val="28"/>
        </w:rPr>
        <w:t xml:space="preserve">tes in the Upper Colorado River </w:t>
      </w:r>
      <w:r w:rsidR="00E34A2F" w:rsidRPr="003F3B3C">
        <w:rPr>
          <w:rFonts w:cs="URW Palladio L"/>
          <w:b/>
          <w:bCs/>
          <w:color w:val="000000"/>
          <w:szCs w:val="28"/>
        </w:rPr>
        <w:t>Basin</w:t>
      </w:r>
      <w:r w:rsidR="004142E1" w:rsidRPr="003F3B3C">
        <w:rPr>
          <w:rFonts w:cs="URW Palladio L"/>
          <w:b/>
          <w:bCs/>
          <w:color w:val="000000"/>
          <w:szCs w:val="28"/>
        </w:rPr>
        <w:t xml:space="preserve"> </w:t>
      </w:r>
    </w:p>
    <w:p w:rsidR="00E34A2F" w:rsidRPr="003F3B3C" w:rsidRDefault="00E34A2F" w:rsidP="00D733AE">
      <w:pPr>
        <w:spacing w:after="120" w:line="480" w:lineRule="auto"/>
        <w:jc w:val="both"/>
        <w:rPr>
          <w:rFonts w:cs="URW Palladio L"/>
          <w:color w:val="000000"/>
          <w:szCs w:val="28"/>
        </w:rPr>
      </w:pPr>
      <w:r w:rsidRPr="003F3B3C">
        <w:rPr>
          <w:rFonts w:cs="URW Palladio L"/>
          <w:color w:val="000000"/>
          <w:szCs w:val="21"/>
        </w:rPr>
        <w:t>Came</w:t>
      </w:r>
      <w:r w:rsidR="00FA038B">
        <w:rPr>
          <w:rFonts w:cs="URW Palladio L"/>
          <w:color w:val="000000"/>
          <w:szCs w:val="21"/>
        </w:rPr>
        <w:t>ron Bracken, Balaji Rajagopalan, Edith Zagona</w:t>
      </w:r>
    </w:p>
    <w:p w:rsidR="004142E1" w:rsidRPr="003F3B3C" w:rsidRDefault="004142E1" w:rsidP="00D733AE">
      <w:pPr>
        <w:spacing w:after="120" w:line="480" w:lineRule="auto"/>
        <w:jc w:val="both"/>
        <w:rPr>
          <w:rFonts w:cs="URW Palladio L"/>
          <w:b/>
          <w:color w:val="000000"/>
          <w:szCs w:val="20"/>
        </w:rPr>
      </w:pPr>
      <w:r w:rsidRPr="003F3B3C">
        <w:rPr>
          <w:rFonts w:cs="URW Palladio L"/>
          <w:b/>
          <w:color w:val="000000"/>
          <w:szCs w:val="20"/>
        </w:rPr>
        <w:t>Abstract</w:t>
      </w:r>
    </w:p>
    <w:p w:rsidR="00E34A2F" w:rsidRPr="003F3B3C" w:rsidRDefault="00E34A2F" w:rsidP="00D733AE">
      <w:pPr>
        <w:spacing w:after="120" w:line="480" w:lineRule="auto"/>
        <w:jc w:val="both"/>
        <w:rPr>
          <w:rFonts w:cs="URW Palladio L"/>
          <w:color w:val="000000"/>
          <w:szCs w:val="20"/>
        </w:rPr>
      </w:pPr>
      <w:r w:rsidRPr="003F3B3C">
        <w:rPr>
          <w:rFonts w:cs="URW Palladio L"/>
          <w:color w:val="000000"/>
          <w:szCs w:val="20"/>
        </w:rPr>
        <w:t xml:space="preserve">The generation of forecasts at a large number of sites is crucial for operations of the Upper Colorado River Basin. We show that the framework of </w:t>
      </w:r>
      <w:r w:rsidRPr="003F3B3C">
        <w:rPr>
          <w:rFonts w:cs="URW Palladio L"/>
          <w:i/>
          <w:iCs/>
          <w:color w:val="000000"/>
          <w:szCs w:val="20"/>
        </w:rPr>
        <w:t xml:space="preserve">Bracken et al. </w:t>
      </w:r>
      <w:r w:rsidRPr="003F3B3C">
        <w:rPr>
          <w:rFonts w:cs="URW Palladio L"/>
          <w:color w:val="000000"/>
          <w:szCs w:val="20"/>
        </w:rPr>
        <w:t xml:space="preserve">(2010) can be extended to generate monthly peak season (April-July) forecasts at twenty sites in the Upper Colorado River Basin at long lead times. We also improve the framework to incorporate the </w:t>
      </w:r>
      <w:r w:rsidR="00977BCD">
        <w:rPr>
          <w:rFonts w:cs="URW Palladio L"/>
          <w:color w:val="000000"/>
          <w:szCs w:val="20"/>
        </w:rPr>
        <w:t>fl</w:t>
      </w:r>
      <w:r w:rsidR="00977BCD" w:rsidRPr="003F3B3C">
        <w:rPr>
          <w:rFonts w:cs="URW Palladio L"/>
          <w:color w:val="000000"/>
          <w:szCs w:val="20"/>
        </w:rPr>
        <w:t>exible</w:t>
      </w:r>
      <w:r w:rsidRPr="003F3B3C">
        <w:rPr>
          <w:rFonts w:cs="URW Palladio L"/>
          <w:color w:val="000000"/>
          <w:szCs w:val="20"/>
        </w:rPr>
        <w:t xml:space="preserve"> disaggregation method of </w:t>
      </w:r>
      <w:r w:rsidRPr="003F3B3C">
        <w:rPr>
          <w:rFonts w:cs="URW Palladio L"/>
          <w:i/>
          <w:iCs/>
          <w:color w:val="000000"/>
          <w:szCs w:val="20"/>
        </w:rPr>
        <w:t xml:space="preserve">Nowak et al. </w:t>
      </w:r>
      <w:r w:rsidRPr="003F3B3C">
        <w:rPr>
          <w:rFonts w:cs="URW Palladio L"/>
          <w:color w:val="000000"/>
          <w:szCs w:val="20"/>
        </w:rPr>
        <w:t xml:space="preserve">(2010) into the framework to perform spatial and temporal disaggregation. With few exceptions, skills are positive for all sites, months and lead times. The November 1 forecasts show an average 11% increase in skill over climatology for all the sites considered. </w:t>
      </w:r>
    </w:p>
    <w:p w:rsidR="00E34A2F" w:rsidRPr="003F3B3C" w:rsidRDefault="00E34A2F" w:rsidP="00D733AE">
      <w:pPr>
        <w:spacing w:after="120" w:line="480" w:lineRule="auto"/>
        <w:jc w:val="both"/>
        <w:rPr>
          <w:rFonts w:cs="URW Palladio L"/>
          <w:color w:val="000000"/>
          <w:szCs w:val="23"/>
        </w:rPr>
      </w:pPr>
      <w:r w:rsidRPr="003F3B3C">
        <w:rPr>
          <w:rFonts w:cs="URW Palladio L"/>
          <w:b/>
          <w:bCs/>
          <w:color w:val="000000"/>
          <w:szCs w:val="23"/>
        </w:rPr>
        <w:t xml:space="preserve">1 Introduction </w:t>
      </w:r>
    </w:p>
    <w:p w:rsidR="00E34A2F" w:rsidRPr="003F3B3C" w:rsidRDefault="00E34A2F" w:rsidP="00D733AE">
      <w:pPr>
        <w:spacing w:after="120" w:line="480" w:lineRule="auto"/>
        <w:jc w:val="both"/>
        <w:rPr>
          <w:rFonts w:cs="URW Palladio L"/>
          <w:color w:val="000000"/>
          <w:szCs w:val="21"/>
        </w:rPr>
      </w:pPr>
      <w:r w:rsidRPr="003F3B3C">
        <w:rPr>
          <w:rFonts w:cs="URW Palladio L"/>
          <w:color w:val="000000"/>
          <w:szCs w:val="21"/>
        </w:rPr>
        <w:t>In the last ten years water supply management in the Upper Colorado River Basin (UCRB) has come under increasing scrutiny and regulation. Drought (</w:t>
      </w:r>
      <w:r w:rsidRPr="003F3B3C">
        <w:rPr>
          <w:rFonts w:cs="URW Palladio L"/>
          <w:i/>
          <w:iCs/>
          <w:color w:val="000000"/>
          <w:szCs w:val="21"/>
        </w:rPr>
        <w:t>Fulp</w:t>
      </w:r>
      <w:r w:rsidRPr="003F3B3C">
        <w:rPr>
          <w:rFonts w:cs="URW Palladio L"/>
          <w:color w:val="000000"/>
          <w:szCs w:val="21"/>
        </w:rPr>
        <w:t>, 2005), climate change (</w:t>
      </w:r>
      <w:r w:rsidRPr="003F3B3C">
        <w:rPr>
          <w:rFonts w:cs="URW Palladio L"/>
          <w:i/>
          <w:iCs/>
          <w:color w:val="000000"/>
          <w:szCs w:val="21"/>
        </w:rPr>
        <w:t>Rajagopalan et al.</w:t>
      </w:r>
      <w:r w:rsidRPr="003F3B3C">
        <w:rPr>
          <w:rFonts w:cs="URW Palladio L"/>
          <w:color w:val="000000"/>
          <w:szCs w:val="21"/>
        </w:rPr>
        <w:t xml:space="preserve">, 2009), environmental </w:t>
      </w:r>
      <w:r w:rsidR="00977BCD">
        <w:rPr>
          <w:rFonts w:cs="URW Palladio L"/>
          <w:color w:val="000000"/>
          <w:szCs w:val="21"/>
        </w:rPr>
        <w:t>fl</w:t>
      </w:r>
      <w:r w:rsidR="00977BCD" w:rsidRPr="003F3B3C">
        <w:rPr>
          <w:rFonts w:cs="URW Palladio L"/>
          <w:color w:val="000000"/>
          <w:szCs w:val="21"/>
        </w:rPr>
        <w:t>ows</w:t>
      </w:r>
      <w:r w:rsidRPr="003F3B3C">
        <w:rPr>
          <w:rFonts w:cs="URW Palladio L"/>
          <w:color w:val="000000"/>
          <w:szCs w:val="21"/>
        </w:rPr>
        <w:t xml:space="preserve"> and increasing demands (</w:t>
      </w:r>
      <w:r w:rsidRPr="003F3B3C">
        <w:rPr>
          <w:rFonts w:cs="URW Palladio L"/>
          <w:i/>
          <w:iCs/>
          <w:color w:val="000000"/>
          <w:szCs w:val="21"/>
        </w:rPr>
        <w:t>US Department of the Interior</w:t>
      </w:r>
      <w:r w:rsidRPr="003F3B3C">
        <w:rPr>
          <w:rFonts w:cs="URW Palladio L"/>
          <w:color w:val="000000"/>
          <w:szCs w:val="21"/>
        </w:rPr>
        <w:t xml:space="preserve">, 2008) have all put the reliability of the system into question. In 2007 the “Interim Guidelines” were passed as a </w:t>
      </w:r>
      <w:r w:rsidR="00977BCD" w:rsidRPr="003F3B3C">
        <w:rPr>
          <w:rFonts w:cs="URW Palladio L"/>
          <w:color w:val="000000"/>
          <w:szCs w:val="21"/>
        </w:rPr>
        <w:t>response</w:t>
      </w:r>
      <w:r w:rsidRPr="003F3B3C">
        <w:rPr>
          <w:rFonts w:cs="URW Palladio L"/>
          <w:color w:val="000000"/>
          <w:szCs w:val="21"/>
        </w:rPr>
        <w:t xml:space="preserve"> to some of these factors (</w:t>
      </w:r>
      <w:r w:rsidRPr="003F3B3C">
        <w:rPr>
          <w:rFonts w:cs="URW Palladio L"/>
          <w:i/>
          <w:iCs/>
          <w:color w:val="000000"/>
          <w:szCs w:val="21"/>
        </w:rPr>
        <w:t>US Department of the Interior</w:t>
      </w:r>
      <w:r w:rsidRPr="003F3B3C">
        <w:rPr>
          <w:rFonts w:cs="URW Palladio L"/>
          <w:color w:val="000000"/>
          <w:szCs w:val="21"/>
        </w:rPr>
        <w:t xml:space="preserve">, 2007). These guidelines lay a framework for coordinated operations of Lake Powell and Lake </w:t>
      </w:r>
      <w:r w:rsidR="00977BCD" w:rsidRPr="003F3B3C">
        <w:rPr>
          <w:rFonts w:cs="URW Palladio L"/>
          <w:color w:val="000000"/>
          <w:szCs w:val="21"/>
        </w:rPr>
        <w:t>Mead, which</w:t>
      </w:r>
      <w:r w:rsidRPr="003F3B3C">
        <w:rPr>
          <w:rFonts w:cs="URW Palladio L"/>
          <w:color w:val="000000"/>
          <w:szCs w:val="21"/>
        </w:rPr>
        <w:t xml:space="preserve"> depend heavily on water supply forecasts. These factors all underscore the need for skilful forecasts at long lead times at many locations throughout the UCRB. </w:t>
      </w:r>
    </w:p>
    <w:p w:rsidR="00E34A2F" w:rsidRPr="003F3B3C" w:rsidRDefault="00E34A2F" w:rsidP="00D733AE">
      <w:pPr>
        <w:spacing w:after="120" w:line="480" w:lineRule="auto"/>
        <w:jc w:val="both"/>
        <w:rPr>
          <w:rFonts w:cs="URW Palladio L"/>
          <w:color w:val="000000"/>
          <w:szCs w:val="21"/>
        </w:rPr>
      </w:pPr>
      <w:r w:rsidRPr="003F3B3C">
        <w:rPr>
          <w:rFonts w:cs="URW Palladio L"/>
          <w:color w:val="000000"/>
          <w:szCs w:val="21"/>
        </w:rPr>
        <w:t>The generation of forecasts at a large number of sites is crucial for operations of the Upper Col</w:t>
      </w:r>
      <w:r w:rsidRPr="003F3B3C">
        <w:rPr>
          <w:rFonts w:cs="URW Palladio L"/>
          <w:color w:val="000000"/>
          <w:szCs w:val="21"/>
        </w:rPr>
        <w:softHyphen/>
        <w:t xml:space="preserve">orado River Basin. The “24-Month Study” is the Bureau of Reclmation’s primary water supply forecast model in the Upper (and since January 2010) and Lower Colorado River Basin. This model is run monthly and requires </w:t>
      </w:r>
      <w:r w:rsidR="00977BCD">
        <w:rPr>
          <w:rFonts w:cs="URW Palladio L"/>
          <w:color w:val="000000"/>
          <w:szCs w:val="21"/>
        </w:rPr>
        <w:t>infl</w:t>
      </w:r>
      <w:r w:rsidR="00977BCD" w:rsidRPr="003F3B3C">
        <w:rPr>
          <w:rFonts w:cs="URW Palladio L"/>
          <w:color w:val="000000"/>
          <w:szCs w:val="21"/>
        </w:rPr>
        <w:t>ow</w:t>
      </w:r>
      <w:r w:rsidRPr="003F3B3C">
        <w:rPr>
          <w:rFonts w:cs="URW Palladio L"/>
          <w:color w:val="000000"/>
          <w:szCs w:val="21"/>
        </w:rPr>
        <w:t xml:space="preserve"> forecasts at 12 locations </w:t>
      </w:r>
      <w:r w:rsidR="00977BCD" w:rsidRPr="003F3B3C">
        <w:rPr>
          <w:rFonts w:cs="URW Palladio L"/>
          <w:color w:val="000000"/>
          <w:szCs w:val="21"/>
        </w:rPr>
        <w:t>through</w:t>
      </w:r>
      <w:r w:rsidR="00977BCD">
        <w:rPr>
          <w:rFonts w:cs="URW Palladio L"/>
          <w:color w:val="000000"/>
          <w:szCs w:val="21"/>
        </w:rPr>
        <w:t>ou</w:t>
      </w:r>
      <w:r w:rsidR="00977BCD" w:rsidRPr="003F3B3C">
        <w:rPr>
          <w:rFonts w:cs="URW Palladio L"/>
          <w:color w:val="000000"/>
          <w:szCs w:val="21"/>
        </w:rPr>
        <w:t>t</w:t>
      </w:r>
      <w:r w:rsidRPr="003F3B3C">
        <w:rPr>
          <w:rFonts w:cs="URW Palladio L"/>
          <w:color w:val="000000"/>
          <w:szCs w:val="21"/>
        </w:rPr>
        <w:t xml:space="preserve"> the Upper Basin. Op</w:t>
      </w:r>
      <w:r w:rsidRPr="003F3B3C">
        <w:rPr>
          <w:rFonts w:cs="URW Palladio L"/>
          <w:color w:val="000000"/>
          <w:szCs w:val="21"/>
        </w:rPr>
        <w:softHyphen/>
        <w:t xml:space="preserve">erators use these </w:t>
      </w:r>
      <w:r w:rsidR="00977BCD">
        <w:rPr>
          <w:rFonts w:cs="URW Palladio L"/>
          <w:color w:val="000000"/>
          <w:szCs w:val="21"/>
        </w:rPr>
        <w:t>infl</w:t>
      </w:r>
      <w:r w:rsidR="00977BCD" w:rsidRPr="003F3B3C">
        <w:rPr>
          <w:rFonts w:cs="URW Palladio L"/>
          <w:color w:val="000000"/>
          <w:szCs w:val="21"/>
        </w:rPr>
        <w:t>ow</w:t>
      </w:r>
      <w:r w:rsidRPr="003F3B3C">
        <w:rPr>
          <w:rFonts w:cs="URW Palladio L"/>
          <w:color w:val="000000"/>
          <w:szCs w:val="21"/>
        </w:rPr>
        <w:t xml:space="preserve"> forecasts to </w:t>
      </w:r>
      <w:r w:rsidR="00977BCD" w:rsidRPr="003F3B3C">
        <w:rPr>
          <w:rFonts w:cs="URW Palladio L"/>
          <w:color w:val="000000"/>
          <w:szCs w:val="21"/>
        </w:rPr>
        <w:t>ge</w:t>
      </w:r>
      <w:r w:rsidR="00977BCD">
        <w:rPr>
          <w:rFonts w:cs="URW Palladio L"/>
          <w:color w:val="000000"/>
          <w:szCs w:val="21"/>
        </w:rPr>
        <w:t>ne</w:t>
      </w:r>
      <w:r w:rsidR="00977BCD" w:rsidRPr="003F3B3C">
        <w:rPr>
          <w:rFonts w:cs="URW Palladio L"/>
          <w:color w:val="000000"/>
          <w:szCs w:val="21"/>
        </w:rPr>
        <w:t>rate</w:t>
      </w:r>
      <w:r w:rsidRPr="003F3B3C">
        <w:rPr>
          <w:rFonts w:cs="URW Palladio L"/>
          <w:color w:val="000000"/>
          <w:szCs w:val="21"/>
        </w:rPr>
        <w:t xml:space="preserve"> reservoir </w:t>
      </w:r>
      <w:r w:rsidR="00886374" w:rsidRPr="003F3B3C">
        <w:rPr>
          <w:rFonts w:cs="URW Palladio L"/>
          <w:color w:val="000000"/>
          <w:szCs w:val="21"/>
        </w:rPr>
        <w:t>out</w:t>
      </w:r>
      <w:r w:rsidR="00886374">
        <w:rPr>
          <w:rFonts w:cs="URW Palladio L"/>
          <w:color w:val="000000"/>
          <w:szCs w:val="21"/>
        </w:rPr>
        <w:t>fl</w:t>
      </w:r>
      <w:r w:rsidR="00886374" w:rsidRPr="003F3B3C">
        <w:rPr>
          <w:rFonts w:cs="URW Palladio L"/>
          <w:color w:val="000000"/>
          <w:szCs w:val="21"/>
        </w:rPr>
        <w:t>ows that</w:t>
      </w:r>
      <w:r w:rsidRPr="003F3B3C">
        <w:rPr>
          <w:rFonts w:cs="URW Palladio L"/>
          <w:color w:val="000000"/>
          <w:szCs w:val="21"/>
        </w:rPr>
        <w:t xml:space="preserve"> are then run through the “24-Month Study” model to obtain a picture of water resources for the next 24 to 36 months. Be</w:t>
      </w:r>
      <w:r w:rsidRPr="003F3B3C">
        <w:rPr>
          <w:rFonts w:cs="URW Palladio L"/>
          <w:color w:val="000000"/>
          <w:szCs w:val="21"/>
        </w:rPr>
        <w:softHyphen/>
        <w:t>yond initial reservoir states, the predictive capability of the model largely on the skill of the in</w:t>
      </w:r>
      <w:r w:rsidR="00977BCD">
        <w:rPr>
          <w:rFonts w:cs="URW Palladio L"/>
          <w:color w:val="000000"/>
          <w:szCs w:val="21"/>
        </w:rPr>
        <w:t>fl</w:t>
      </w:r>
      <w:r w:rsidRPr="003F3B3C">
        <w:rPr>
          <w:rFonts w:cs="URW Palladio L"/>
          <w:color w:val="000000"/>
          <w:szCs w:val="21"/>
        </w:rPr>
        <w:t xml:space="preserve">ow forecasts. </w:t>
      </w:r>
    </w:p>
    <w:p w:rsidR="00D64D9E" w:rsidRDefault="00E34A2F" w:rsidP="00D733AE">
      <w:pPr>
        <w:spacing w:after="120" w:line="480" w:lineRule="auto"/>
        <w:jc w:val="both"/>
        <w:rPr>
          <w:rFonts w:cs="URW Palladio L"/>
          <w:color w:val="000000"/>
          <w:szCs w:val="21"/>
        </w:rPr>
      </w:pPr>
      <w:r w:rsidRPr="003F3B3C">
        <w:rPr>
          <w:rFonts w:cs="URW Palladio L"/>
          <w:color w:val="000000"/>
          <w:szCs w:val="21"/>
        </w:rPr>
        <w:t xml:space="preserve">The nonparametric multisite ensemble forecast framework developed by </w:t>
      </w:r>
      <w:r w:rsidRPr="003F3B3C">
        <w:rPr>
          <w:rFonts w:cs="URW Palladio L"/>
          <w:i/>
          <w:iCs/>
          <w:color w:val="000000"/>
          <w:szCs w:val="21"/>
        </w:rPr>
        <w:t xml:space="preserve">Bracken et al. </w:t>
      </w:r>
      <w:r w:rsidRPr="003F3B3C">
        <w:rPr>
          <w:rFonts w:cs="URW Palladio L"/>
          <w:color w:val="000000"/>
          <w:szCs w:val="21"/>
        </w:rPr>
        <w:t xml:space="preserve">(2010) was able to show skill at long lead times in forecasts generated for four key sites in the Upper Colorado River Basin (Colorado River near Cisco, Utah, Green River at Green River, Utah, San Juan River near Bluff, Utah, and Colorado River at Lees Ferry, Arizona). The framework of </w:t>
      </w:r>
      <w:r w:rsidRPr="003F3B3C">
        <w:rPr>
          <w:rFonts w:cs="URW Palladio L"/>
          <w:i/>
          <w:iCs/>
          <w:color w:val="000000"/>
          <w:szCs w:val="21"/>
        </w:rPr>
        <w:t xml:space="preserve">Bracken et al. </w:t>
      </w:r>
      <w:r w:rsidRPr="003F3B3C">
        <w:rPr>
          <w:rFonts w:cs="URW Palladio L"/>
          <w:color w:val="000000"/>
          <w:szCs w:val="21"/>
        </w:rPr>
        <w:t>(2010) is similar to many recent studies (</w:t>
      </w:r>
      <w:r w:rsidRPr="003F3B3C">
        <w:rPr>
          <w:rFonts w:cs="URW Palladio L"/>
          <w:i/>
          <w:iCs/>
          <w:color w:val="000000"/>
          <w:szCs w:val="21"/>
        </w:rPr>
        <w:t>Moradkhani</w:t>
      </w:r>
      <w:r w:rsidRPr="003F3B3C">
        <w:rPr>
          <w:rFonts w:cs="URW Palladio L"/>
          <w:color w:val="000000"/>
          <w:szCs w:val="21"/>
        </w:rPr>
        <w:t xml:space="preserve">, 2010; </w:t>
      </w:r>
      <w:r w:rsidRPr="003F3B3C">
        <w:rPr>
          <w:rFonts w:cs="URW Palladio L"/>
          <w:i/>
          <w:iCs/>
          <w:color w:val="000000"/>
          <w:szCs w:val="21"/>
        </w:rPr>
        <w:t>Opitz-Stapleton et al.</w:t>
      </w:r>
      <w:r w:rsidRPr="003F3B3C">
        <w:rPr>
          <w:rFonts w:cs="URW Palladio L"/>
          <w:color w:val="000000"/>
          <w:szCs w:val="21"/>
        </w:rPr>
        <w:t xml:space="preserve">, 2007; </w:t>
      </w:r>
      <w:r w:rsidRPr="003F3B3C">
        <w:rPr>
          <w:rFonts w:cs="URW Palladio L"/>
          <w:i/>
          <w:iCs/>
          <w:color w:val="000000"/>
          <w:szCs w:val="21"/>
        </w:rPr>
        <w:t>Regonda et al.</w:t>
      </w:r>
      <w:r w:rsidRPr="003F3B3C">
        <w:rPr>
          <w:rFonts w:cs="URW Palladio L"/>
          <w:color w:val="000000"/>
          <w:szCs w:val="21"/>
        </w:rPr>
        <w:t xml:space="preserve">, 2006; </w:t>
      </w:r>
      <w:r w:rsidRPr="003F3B3C">
        <w:rPr>
          <w:rFonts w:cs="URW Palladio L"/>
          <w:i/>
          <w:iCs/>
          <w:color w:val="000000"/>
          <w:szCs w:val="21"/>
        </w:rPr>
        <w:t>Grantz et al.</w:t>
      </w:r>
      <w:r w:rsidRPr="003F3B3C">
        <w:rPr>
          <w:rFonts w:cs="URW Palladio L"/>
          <w:color w:val="000000"/>
          <w:szCs w:val="21"/>
        </w:rPr>
        <w:t xml:space="preserve">, 2005). </w:t>
      </w:r>
      <w:r w:rsidR="00D64D9E">
        <w:rPr>
          <w:rFonts w:cs="URW Palladio L"/>
          <w:color w:val="000000"/>
          <w:szCs w:val="21"/>
        </w:rPr>
        <w:t xml:space="preserve">This framework generated forecasts of an ``index’’ </w:t>
      </w:r>
      <w:r w:rsidR="00977BCD">
        <w:rPr>
          <w:rFonts w:cs="URW Palladio L"/>
          <w:color w:val="000000"/>
          <w:szCs w:val="21"/>
        </w:rPr>
        <w:t>gauge that is</w:t>
      </w:r>
      <w:r w:rsidR="00D64D9E">
        <w:rPr>
          <w:rFonts w:cs="URW Palladio L"/>
          <w:color w:val="000000"/>
          <w:szCs w:val="21"/>
        </w:rPr>
        <w:t xml:space="preserve"> composed of the flow at all the sites in the network.  </w:t>
      </w:r>
      <w:r w:rsidR="00D56F82">
        <w:rPr>
          <w:rFonts w:cs="URW Palladio L"/>
          <w:color w:val="000000"/>
          <w:szCs w:val="21"/>
        </w:rPr>
        <w:t>The</w:t>
      </w:r>
      <w:r w:rsidR="00D64D9E">
        <w:rPr>
          <w:rFonts w:cs="URW Palladio L"/>
          <w:color w:val="000000"/>
          <w:szCs w:val="21"/>
        </w:rPr>
        <w:t xml:space="preserve"> form</w:t>
      </w:r>
      <w:r w:rsidR="00D56F82">
        <w:rPr>
          <w:rFonts w:cs="URW Palladio L"/>
          <w:color w:val="000000"/>
          <w:szCs w:val="21"/>
        </w:rPr>
        <w:t xml:space="preserve"> of the forecast model is</w:t>
      </w:r>
    </w:p>
    <w:p w:rsidR="00D64D9E" w:rsidRDefault="00D56F82" w:rsidP="00886374">
      <w:pPr>
        <w:spacing w:after="120" w:line="480" w:lineRule="auto"/>
        <w:jc w:val="right"/>
        <w:rPr>
          <w:rFonts w:cs="URW Palladio L"/>
          <w:color w:val="000000"/>
          <w:szCs w:val="21"/>
        </w:rPr>
      </w:pPr>
      <w:r w:rsidRPr="00D64D9E">
        <w:rPr>
          <w:rFonts w:cs="URW Palladio L"/>
          <w:color w:val="000000"/>
          <w:position w:val="-8"/>
          <w:szCs w:val="21"/>
        </w:rPr>
        <w:object w:dxaOrig="122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1pt;height:14pt" o:ole="">
            <v:imagedata r:id="rId5" r:pict="rId6" o:title=""/>
          </v:shape>
          <o:OLEObject Type="Embed" ProgID="Equation.3" ShapeID="_x0000_i1046" DrawAspect="Content" ObjectID="_1230384741"/>
        </w:object>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r>
      <w:r w:rsidR="00886374">
        <w:rPr>
          <w:rFonts w:cs="URW Palladio L"/>
          <w:color w:val="000000"/>
          <w:szCs w:val="21"/>
        </w:rPr>
        <w:tab/>
        <w:t>(1)</w:t>
      </w:r>
    </w:p>
    <w:p w:rsidR="00E34A2F" w:rsidRPr="003F3B3C" w:rsidRDefault="00D64D9E" w:rsidP="00D733AE">
      <w:pPr>
        <w:spacing w:after="120" w:line="480" w:lineRule="auto"/>
        <w:jc w:val="both"/>
        <w:rPr>
          <w:rFonts w:cs="URW Palladio L"/>
          <w:color w:val="000000"/>
          <w:szCs w:val="21"/>
        </w:rPr>
      </w:pPr>
      <w:r>
        <w:rPr>
          <w:rFonts w:cs="URW Palladio L"/>
          <w:color w:val="000000"/>
          <w:szCs w:val="21"/>
        </w:rPr>
        <w:t xml:space="preserve">where </w:t>
      </w:r>
      <w:r w:rsidRPr="00D64D9E">
        <w:rPr>
          <w:rFonts w:cs="URW Palladio L"/>
          <w:color w:val="000000"/>
          <w:position w:val="-8"/>
          <w:szCs w:val="21"/>
        </w:rPr>
        <w:object w:dxaOrig="180" w:dyaOrig="220">
          <v:shape id="_x0000_i1038" type="#_x0000_t75" style="width:9pt;height:11pt" o:ole="">
            <v:imagedata r:id="rId8" r:pict="rId9" o:title=""/>
          </v:shape>
          <o:OLEObject Type="Embed" ProgID="Equation.3" ShapeID="_x0000_i1038" DrawAspect="Content" ObjectID="_1230384742"/>
        </w:object>
      </w:r>
      <w:r>
        <w:rPr>
          <w:rFonts w:cs="URW Palladio L"/>
          <w:color w:val="000000"/>
          <w:szCs w:val="21"/>
        </w:rPr>
        <w:t xml:space="preserve"> is the index gauge seasonal flow, </w:t>
      </w:r>
      <w:r w:rsidR="00D56F82" w:rsidRPr="00D64D9E">
        <w:rPr>
          <w:rFonts w:cs="URW Palladio L"/>
          <w:color w:val="000000"/>
          <w:position w:val="-2"/>
          <w:szCs w:val="21"/>
        </w:rPr>
        <w:object w:dxaOrig="180" w:dyaOrig="160">
          <v:shape id="_x0000_i1044" type="#_x0000_t75" style="width:9pt;height:8pt" o:ole="">
            <v:imagedata r:id="rId11" r:pict="rId12" o:title=""/>
          </v:shape>
          <o:OLEObject Type="Embed" ProgID="Equation.3" ShapeID="_x0000_i1044" DrawAspect="Content" ObjectID="_1230384743"/>
        </w:object>
      </w:r>
      <w:r w:rsidR="00D56F82">
        <w:rPr>
          <w:rFonts w:cs="URW Palladio L"/>
          <w:color w:val="000000"/>
          <w:szCs w:val="21"/>
        </w:rPr>
        <w:t xml:space="preserve"> is a matrix of predictors and </w:t>
      </w:r>
      <w:r w:rsidR="00D56F82" w:rsidRPr="00D56F82">
        <w:rPr>
          <w:rFonts w:cs="URW Palladio L"/>
          <w:color w:val="000000"/>
          <w:position w:val="-2"/>
          <w:szCs w:val="21"/>
        </w:rPr>
        <w:object w:dxaOrig="160" w:dyaOrig="140">
          <v:shape id="_x0000_i1049" type="#_x0000_t75" style="width:8pt;height:7pt" o:ole="">
            <v:imagedata r:id="rId14" r:pict="rId15" o:title=""/>
          </v:shape>
          <o:OLEObject Type="Embed" ProgID="Equation.3" ShapeID="_x0000_i1049" DrawAspect="Content" ObjectID="_1230384744"/>
        </w:object>
      </w:r>
      <w:r>
        <w:rPr>
          <w:rFonts w:cs="URW Palladio L"/>
          <w:color w:val="000000"/>
          <w:szCs w:val="21"/>
        </w:rPr>
        <w:t xml:space="preserve"> </w:t>
      </w:r>
      <w:r w:rsidR="00D56F82">
        <w:rPr>
          <w:rFonts w:cs="URW Palladio L"/>
          <w:color w:val="000000"/>
          <w:szCs w:val="21"/>
        </w:rPr>
        <w:t>is the residual assumed to be normally distributed.</w:t>
      </w:r>
      <w:r>
        <w:rPr>
          <w:rFonts w:cs="URW Palladio L"/>
          <w:color w:val="000000"/>
          <w:szCs w:val="21"/>
        </w:rPr>
        <w:t xml:space="preserve"> </w:t>
      </w:r>
      <w:r w:rsidR="00E34A2F" w:rsidRPr="003F3B3C">
        <w:rPr>
          <w:rFonts w:cs="URW Palladio L"/>
          <w:color w:val="000000"/>
          <w:szCs w:val="21"/>
        </w:rPr>
        <w:t xml:space="preserve">This framework includes (1) identifying large scale climate predictors for </w:t>
      </w:r>
      <w:r w:rsidR="00D56F82">
        <w:rPr>
          <w:rFonts w:cs="URW Palladio L"/>
          <w:color w:val="000000"/>
          <w:szCs w:val="21"/>
        </w:rPr>
        <w:t>index gauge flow</w:t>
      </w:r>
      <w:r w:rsidR="00E34A2F" w:rsidRPr="003F3B3C">
        <w:rPr>
          <w:rFonts w:cs="URW Palladio L"/>
          <w:color w:val="000000"/>
          <w:szCs w:val="21"/>
        </w:rPr>
        <w:t xml:space="preserve">, (2) calibrating the model by selecting the best sets of predictors of seasonal </w:t>
      </w:r>
      <w:r w:rsidR="00977BCD">
        <w:rPr>
          <w:rFonts w:cs="URW Palladio L"/>
          <w:color w:val="000000"/>
          <w:szCs w:val="21"/>
        </w:rPr>
        <w:t>fl</w:t>
      </w:r>
      <w:r w:rsidR="00E34A2F" w:rsidRPr="003F3B3C">
        <w:rPr>
          <w:rFonts w:cs="URW Palladio L"/>
          <w:color w:val="000000"/>
          <w:szCs w:val="21"/>
        </w:rPr>
        <w:t>ow volume for each lead time</w:t>
      </w:r>
      <w:r w:rsidR="00D56F82">
        <w:rPr>
          <w:rFonts w:cs="URW Palladio L"/>
          <w:color w:val="000000"/>
          <w:szCs w:val="21"/>
        </w:rPr>
        <w:t xml:space="preserve"> and estimating </w:t>
      </w:r>
      <w:r w:rsidR="00D56F82" w:rsidRPr="00D64D9E">
        <w:rPr>
          <w:rFonts w:cs="URW Palladio L"/>
          <w:color w:val="000000"/>
          <w:position w:val="-8"/>
          <w:szCs w:val="21"/>
        </w:rPr>
        <w:object w:dxaOrig="220" w:dyaOrig="280">
          <v:shape id="_x0000_i1052" type="#_x0000_t75" style="width:11pt;height:14pt" o:ole="">
            <v:imagedata r:id="rId17" r:pict="rId18" o:title=""/>
          </v:shape>
          <o:OLEObject Type="Embed" ProgID="Equation.3" ShapeID="_x0000_i1052" DrawAspect="Content" ObjectID="_1230384745"/>
        </w:object>
      </w:r>
      <w:r w:rsidR="00E34A2F" w:rsidRPr="003F3B3C">
        <w:rPr>
          <w:rFonts w:cs="URW Palladio L"/>
          <w:color w:val="000000"/>
          <w:szCs w:val="21"/>
        </w:rPr>
        <w:t xml:space="preserve">, (3) generating ensemble forecasts of </w:t>
      </w:r>
      <w:r w:rsidR="00D56F82">
        <w:rPr>
          <w:rFonts w:cs="URW Palladio L"/>
          <w:color w:val="000000"/>
          <w:szCs w:val="21"/>
        </w:rPr>
        <w:t>index gauge seasonal flow and (4)</w:t>
      </w:r>
      <w:r w:rsidR="00E34A2F" w:rsidRPr="003F3B3C">
        <w:rPr>
          <w:rFonts w:cs="URW Palladio L"/>
          <w:color w:val="000000"/>
          <w:szCs w:val="21"/>
        </w:rPr>
        <w:t xml:space="preserve"> disaggregating these forecasts in space and time to four sites in the UCRB. While promising, these results leave open the question of this skill translating to a larger number of sites on the same river network. </w:t>
      </w:r>
    </w:p>
    <w:p w:rsidR="00E34A2F" w:rsidRPr="003F3B3C" w:rsidRDefault="00E34A2F" w:rsidP="004142E1">
      <w:pPr>
        <w:spacing w:after="120" w:line="480" w:lineRule="auto"/>
        <w:jc w:val="both"/>
        <w:rPr>
          <w:rFonts w:cs="URW Palladio L"/>
          <w:color w:val="000000"/>
          <w:szCs w:val="23"/>
        </w:rPr>
      </w:pPr>
      <w:r w:rsidRPr="003F3B3C">
        <w:rPr>
          <w:rFonts w:cs="URW Palladio L"/>
          <w:b/>
          <w:bCs/>
          <w:color w:val="000000"/>
          <w:szCs w:val="23"/>
        </w:rPr>
        <w:t xml:space="preserve">2 Study Area </w:t>
      </w:r>
    </w:p>
    <w:p w:rsidR="00E34A2F" w:rsidRPr="003F3B3C" w:rsidRDefault="00E34A2F" w:rsidP="00D733AE">
      <w:pPr>
        <w:spacing w:after="120" w:line="480" w:lineRule="auto"/>
        <w:jc w:val="both"/>
        <w:rPr>
          <w:rFonts w:cs="URW Palladio L"/>
          <w:color w:val="000000"/>
          <w:szCs w:val="21"/>
        </w:rPr>
      </w:pPr>
      <w:r w:rsidRPr="003F3B3C">
        <w:rPr>
          <w:rFonts w:cs="URW Palladio L"/>
          <w:color w:val="000000"/>
          <w:szCs w:val="21"/>
        </w:rPr>
        <w:t xml:space="preserve">The Upper Colorado River Basin has </w:t>
      </w:r>
      <w:r w:rsidR="00977BCD" w:rsidRPr="003F3B3C">
        <w:rPr>
          <w:rFonts w:cs="URW Palladio L"/>
          <w:color w:val="000000"/>
          <w:szCs w:val="21"/>
        </w:rPr>
        <w:t>drains</w:t>
      </w:r>
      <w:r w:rsidRPr="003F3B3C">
        <w:rPr>
          <w:rFonts w:cs="URW Palladio L"/>
          <w:color w:val="000000"/>
          <w:szCs w:val="21"/>
        </w:rPr>
        <w:t xml:space="preserve"> 279,300 square kilometers. The </w:t>
      </w:r>
      <w:r w:rsidR="00977BCD" w:rsidRPr="003F3B3C">
        <w:rPr>
          <w:rFonts w:cs="URW Palladio L"/>
          <w:color w:val="000000"/>
          <w:szCs w:val="21"/>
        </w:rPr>
        <w:t>terrain</w:t>
      </w:r>
      <w:r w:rsidRPr="003F3B3C">
        <w:rPr>
          <w:rFonts w:cs="URW Palladio L"/>
          <w:color w:val="000000"/>
          <w:szCs w:val="21"/>
        </w:rPr>
        <w:t xml:space="preserve"> varies over 4000 m from east to west. Lees Ferry is located at the outlet of the Upper Basin. The sites used in this study are all the natural </w:t>
      </w:r>
      <w:r w:rsidR="00977BCD">
        <w:rPr>
          <w:rFonts w:cs="URW Palladio L"/>
          <w:color w:val="000000"/>
          <w:szCs w:val="21"/>
        </w:rPr>
        <w:t>fl</w:t>
      </w:r>
      <w:r w:rsidRPr="003F3B3C">
        <w:rPr>
          <w:rFonts w:cs="URW Palladio L"/>
          <w:color w:val="000000"/>
          <w:szCs w:val="21"/>
        </w:rPr>
        <w:t xml:space="preserve">ow nodes in the upper basin. Figure 1 (b) shows the UCRB with natural </w:t>
      </w:r>
      <w:r w:rsidR="00977BCD">
        <w:rPr>
          <w:rFonts w:cs="URW Palladio L"/>
          <w:color w:val="000000"/>
          <w:szCs w:val="21"/>
        </w:rPr>
        <w:t>fl</w:t>
      </w:r>
      <w:r w:rsidRPr="003F3B3C">
        <w:rPr>
          <w:rFonts w:cs="URW Palladio L"/>
          <w:color w:val="000000"/>
          <w:szCs w:val="21"/>
        </w:rPr>
        <w:t>ow node location. Figure 1 (a) shows the network relationship of the nodes. This network structure is exploited in the conversio</w:t>
      </w:r>
      <w:r w:rsidR="00DE16DC">
        <w:rPr>
          <w:rFonts w:cs="URW Palladio L"/>
          <w:color w:val="000000"/>
          <w:szCs w:val="21"/>
        </w:rPr>
        <w:t xml:space="preserve">n from total </w:t>
      </w:r>
      <w:r w:rsidR="00977BCD">
        <w:rPr>
          <w:rFonts w:cs="URW Palladio L"/>
          <w:color w:val="000000"/>
          <w:szCs w:val="21"/>
        </w:rPr>
        <w:t>fl</w:t>
      </w:r>
      <w:r w:rsidR="00DE16DC">
        <w:rPr>
          <w:rFonts w:cs="URW Palladio L"/>
          <w:color w:val="000000"/>
          <w:szCs w:val="21"/>
        </w:rPr>
        <w:t>ow to intervening flow.</w:t>
      </w:r>
      <w:r w:rsidRPr="003F3B3C">
        <w:rPr>
          <w:rFonts w:cs="URW Palladio L"/>
          <w:color w:val="000000"/>
          <w:szCs w:val="21"/>
        </w:rPr>
        <w:t xml:space="preserve"> </w:t>
      </w:r>
    </w:p>
    <w:p w:rsidR="00E34A2F" w:rsidRPr="003F3B3C" w:rsidRDefault="004142E1" w:rsidP="00D56F82">
      <w:pPr>
        <w:keepNext/>
        <w:framePr w:w="10160" w:wrap="auto" w:vAnchor="page" w:hAnchor="page" w:x="1102" w:y="425"/>
        <w:spacing w:after="120" w:line="480" w:lineRule="auto"/>
      </w:pPr>
      <w:r w:rsidRPr="003F3B3C">
        <w:rPr>
          <w:noProof/>
          <w:szCs w:val="21"/>
        </w:rPr>
        <w:drawing>
          <wp:inline distT="0" distB="0" distL="0" distR="0">
            <wp:extent cx="5943600" cy="478790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3600" cy="4787900"/>
                    </a:xfrm>
                    <a:prstGeom prst="rect">
                      <a:avLst/>
                    </a:prstGeom>
                    <a:noFill/>
                    <a:ln w="9525">
                      <a:noFill/>
                      <a:miter lim="800000"/>
                      <a:headEnd/>
                      <a:tailEnd/>
                    </a:ln>
                  </pic:spPr>
                </pic:pic>
              </a:graphicData>
            </a:graphic>
          </wp:inline>
        </w:drawing>
      </w:r>
    </w:p>
    <w:p w:rsidR="00E34A2F" w:rsidRPr="003F3B3C" w:rsidRDefault="00E34A2F" w:rsidP="00D56F82">
      <w:pPr>
        <w:pStyle w:val="Caption"/>
        <w:framePr w:w="10160" w:wrap="auto" w:vAnchor="page" w:hAnchor="page" w:x="1102" w:y="425"/>
        <w:spacing w:after="120" w:line="480" w:lineRule="auto"/>
        <w:jc w:val="center"/>
        <w:rPr>
          <w:sz w:val="22"/>
          <w:szCs w:val="21"/>
        </w:rPr>
      </w:pPr>
      <w:r w:rsidRPr="003F3B3C">
        <w:rPr>
          <w:sz w:val="22"/>
        </w:rPr>
        <w:t xml:space="preserve">Figure </w:t>
      </w:r>
      <w:r w:rsidR="00AA54AB" w:rsidRPr="003F3B3C">
        <w:rPr>
          <w:sz w:val="22"/>
        </w:rPr>
        <w:fldChar w:fldCharType="begin"/>
      </w:r>
      <w:r w:rsidRPr="003F3B3C">
        <w:rPr>
          <w:sz w:val="22"/>
        </w:rPr>
        <w:instrText xml:space="preserve"> SEQ Figure \* ARABIC </w:instrText>
      </w:r>
      <w:r w:rsidR="00AA54AB" w:rsidRPr="003F3B3C">
        <w:rPr>
          <w:sz w:val="22"/>
        </w:rPr>
        <w:fldChar w:fldCharType="separate"/>
      </w:r>
      <w:r w:rsidR="00890E6B">
        <w:rPr>
          <w:noProof/>
          <w:sz w:val="22"/>
        </w:rPr>
        <w:t>1</w:t>
      </w:r>
      <w:r w:rsidR="00AA54AB" w:rsidRPr="003F3B3C">
        <w:rPr>
          <w:sz w:val="22"/>
        </w:rPr>
        <w:fldChar w:fldCharType="end"/>
      </w:r>
      <w:r w:rsidRPr="003F3B3C">
        <w:rPr>
          <w:sz w:val="22"/>
        </w:rPr>
        <w:t>: Map of Upper Colorado River Basin with site numbers</w:t>
      </w:r>
    </w:p>
    <w:p w:rsidR="00E34A2F" w:rsidRPr="003F3B3C" w:rsidRDefault="00E34A2F" w:rsidP="004142E1">
      <w:pPr>
        <w:spacing w:after="120" w:line="480" w:lineRule="auto"/>
        <w:jc w:val="both"/>
        <w:rPr>
          <w:rFonts w:cs="URW Palladio L"/>
          <w:color w:val="000000"/>
          <w:szCs w:val="23"/>
        </w:rPr>
      </w:pPr>
      <w:r w:rsidRPr="003F3B3C">
        <w:rPr>
          <w:rFonts w:cs="URW Palladio L"/>
          <w:b/>
          <w:bCs/>
          <w:color w:val="000000"/>
          <w:szCs w:val="23"/>
        </w:rPr>
        <w:t xml:space="preserve">3 Data </w:t>
      </w:r>
    </w:p>
    <w:p w:rsidR="00DE16DC" w:rsidRPr="00321DE4" w:rsidRDefault="00E34A2F" w:rsidP="004142E1">
      <w:pPr>
        <w:spacing w:after="120" w:line="480" w:lineRule="auto"/>
        <w:jc w:val="both"/>
        <w:rPr>
          <w:rFonts w:cs="URW Palladio L"/>
          <w:szCs w:val="21"/>
        </w:rPr>
      </w:pPr>
      <w:r w:rsidRPr="003F3B3C">
        <w:rPr>
          <w:rFonts w:cs="URW Palladio L"/>
          <w:color w:val="000000"/>
          <w:szCs w:val="21"/>
        </w:rPr>
        <w:t>The data inputs are the same as (</w:t>
      </w:r>
      <w:r w:rsidRPr="003F3B3C">
        <w:rPr>
          <w:rFonts w:cs="URW Palladio L"/>
          <w:i/>
          <w:iCs/>
          <w:color w:val="000000"/>
          <w:szCs w:val="21"/>
        </w:rPr>
        <w:t>Bracken et al.</w:t>
      </w:r>
      <w:r w:rsidRPr="003F3B3C">
        <w:rPr>
          <w:rFonts w:cs="URW Palladio L"/>
          <w:color w:val="000000"/>
          <w:szCs w:val="21"/>
        </w:rPr>
        <w:t>, 2010) though we obtained the most recent observa</w:t>
      </w:r>
      <w:r w:rsidRPr="003F3B3C">
        <w:rPr>
          <w:rFonts w:cs="URW Palladio L"/>
          <w:color w:val="000000"/>
          <w:szCs w:val="21"/>
        </w:rPr>
        <w:softHyphen/>
        <w:t xml:space="preserve">tions for all of the predictors (through 2010 where available). We use zonal and meridonal wind, SST and geopotential height from the NOAA Earth Science Research Laboratory as predictors of large scale climate. Regions of high correlation with </w:t>
      </w:r>
      <w:r w:rsidR="00FA038B">
        <w:rPr>
          <w:rFonts w:cs="URW Palladio L"/>
          <w:color w:val="000000"/>
          <w:szCs w:val="21"/>
        </w:rPr>
        <w:t>Index gauge flow</w:t>
      </w:r>
      <w:r w:rsidRPr="003F3B3C">
        <w:rPr>
          <w:rFonts w:cs="URW Palladio L"/>
          <w:color w:val="000000"/>
          <w:szCs w:val="21"/>
        </w:rPr>
        <w:t xml:space="preserve"> are determined using the </w:t>
      </w:r>
      <w:hyperlink r:id="rId21" w:history="1">
        <w:r w:rsidRPr="003F3B3C">
          <w:rPr>
            <w:rFonts w:cs="URW Palladio L"/>
            <w:color w:val="000000"/>
            <w:szCs w:val="21"/>
          </w:rPr>
          <w:t>ESRL linear correlation tool (</w:t>
        </w:r>
        <w:r w:rsidRPr="003F3B3C">
          <w:rPr>
            <w:rFonts w:cs="Nimbus Mon L"/>
            <w:color w:val="000000"/>
            <w:szCs w:val="19"/>
          </w:rPr>
          <w:t>http://www.esrl.noaa.gov/psd/data/correlation/</w:t>
        </w:r>
        <w:r w:rsidRPr="003F3B3C">
          <w:rPr>
            <w:rFonts w:cs="URW Palladio L"/>
            <w:color w:val="000000"/>
            <w:szCs w:val="21"/>
          </w:rPr>
          <w:t>). The vari</w:t>
        </w:r>
        <w:r w:rsidRPr="003F3B3C">
          <w:rPr>
            <w:rFonts w:cs="URW Palladio L"/>
            <w:color w:val="000000"/>
            <w:szCs w:val="21"/>
          </w:rPr>
          <w:softHyphen/>
        </w:r>
      </w:hyperlink>
      <w:r w:rsidR="004142E1" w:rsidRPr="003F3B3C">
        <w:rPr>
          <w:rFonts w:cs="URW Palladio L"/>
          <w:color w:val="000000"/>
          <w:szCs w:val="21"/>
        </w:rPr>
        <w:t xml:space="preserve">ables </w:t>
      </w:r>
      <w:r w:rsidRPr="003F3B3C">
        <w:rPr>
          <w:szCs w:val="21"/>
        </w:rPr>
        <w:t>are averaged over these regions and the resulting timeseries is used as a predictor. This analysis is repeated for each lead time to obtain a suite of predictors. Soil moisture data was ob</w:t>
      </w:r>
      <w:r w:rsidRPr="003F3B3C">
        <w:rPr>
          <w:szCs w:val="21"/>
        </w:rPr>
        <w:softHyphen/>
      </w:r>
      <w:hyperlink r:id="rId22" w:history="1">
        <w:r w:rsidRPr="003F3B3C">
          <w:rPr>
            <w:szCs w:val="21"/>
          </w:rPr>
          <w:t>tained by climate division and averaged over a region covering the UCRB (</w:t>
        </w:r>
        <w:r w:rsidRPr="003F3B3C">
          <w:rPr>
            <w:rFonts w:cs="Nimbus Mon L"/>
            <w:szCs w:val="19"/>
          </w:rPr>
          <w:t xml:space="preserve">http://www.esrl. </w:t>
        </w:r>
      </w:hyperlink>
      <w:hyperlink r:id="rId23" w:history="1">
        <w:r w:rsidRPr="003F3B3C">
          <w:rPr>
            <w:rFonts w:cs="Nimbus Mon L"/>
            <w:szCs w:val="19"/>
          </w:rPr>
          <w:t>noaa.gov/psd/data/timeseries/)</w:t>
        </w:r>
        <w:r w:rsidRPr="003F3B3C">
          <w:rPr>
            <w:rFonts w:cs="URW Palladio L"/>
            <w:szCs w:val="21"/>
          </w:rPr>
          <w:t>. Snow water equivalent (SWE) data was obtained from Nat</w:t>
        </w:r>
        <w:r w:rsidRPr="003F3B3C">
          <w:rPr>
            <w:rFonts w:cs="URW Palladio L"/>
            <w:szCs w:val="21"/>
          </w:rPr>
          <w:softHyphen/>
        </w:r>
      </w:hyperlink>
      <w:hyperlink r:id="rId24" w:history="1">
        <w:r w:rsidRPr="003F3B3C">
          <w:rPr>
            <w:szCs w:val="21"/>
          </w:rPr>
          <w:t>ural Resources Conservation Service (NRCS) (</w:t>
        </w:r>
        <w:r w:rsidRPr="003F3B3C">
          <w:rPr>
            <w:rFonts w:cs="Nimbus Mon L"/>
            <w:szCs w:val="19"/>
          </w:rPr>
          <w:t>http://www.wcc.nrcs.usda.gov/snow</w:t>
        </w:r>
        <w:r w:rsidRPr="003F3B3C">
          <w:rPr>
            <w:rFonts w:cs="URW Palladio L"/>
            <w:szCs w:val="21"/>
          </w:rPr>
          <w:t xml:space="preserve">). The most </w:t>
        </w:r>
      </w:hyperlink>
      <w:r w:rsidRPr="003F3B3C">
        <w:rPr>
          <w:szCs w:val="21"/>
        </w:rPr>
        <w:t xml:space="preserve">recent </w:t>
      </w:r>
      <w:r w:rsidRPr="00321DE4">
        <w:rPr>
          <w:szCs w:val="21"/>
        </w:rPr>
        <w:t>data was obtained for the ten sites used in (</w:t>
      </w:r>
      <w:r w:rsidRPr="00321DE4">
        <w:rPr>
          <w:rFonts w:cs="URW Palladio L"/>
          <w:i/>
          <w:iCs/>
          <w:szCs w:val="21"/>
        </w:rPr>
        <w:t>Bracken et al.</w:t>
      </w:r>
      <w:r w:rsidRPr="00321DE4">
        <w:rPr>
          <w:rFonts w:cs="URW Palladio L"/>
          <w:szCs w:val="21"/>
        </w:rPr>
        <w:t xml:space="preserve">, 2010). </w:t>
      </w:r>
    </w:p>
    <w:p w:rsidR="004142E1" w:rsidRPr="00321DE4" w:rsidRDefault="00DE16DC" w:rsidP="004142E1">
      <w:pPr>
        <w:spacing w:after="120" w:line="480" w:lineRule="auto"/>
        <w:jc w:val="both"/>
        <w:rPr>
          <w:rFonts w:cs="URW Palladio L"/>
          <w:szCs w:val="21"/>
        </w:rPr>
      </w:pPr>
      <w:r w:rsidRPr="00321DE4">
        <w:rPr>
          <w:rFonts w:cs="URW Palladio L"/>
          <w:szCs w:val="21"/>
        </w:rPr>
        <w:t>W</w:t>
      </w:r>
      <w:r w:rsidR="00E34A2F" w:rsidRPr="00321DE4">
        <w:rPr>
          <w:rFonts w:cs="URW Palladio L"/>
          <w:szCs w:val="21"/>
        </w:rPr>
        <w:t xml:space="preserve">e obtained the most recent natural </w:t>
      </w:r>
      <w:r w:rsidR="00977BCD">
        <w:rPr>
          <w:rFonts w:cs="URW Palladio L"/>
          <w:szCs w:val="21"/>
        </w:rPr>
        <w:t>fl</w:t>
      </w:r>
      <w:r w:rsidR="00E34A2F" w:rsidRPr="00321DE4">
        <w:rPr>
          <w:rFonts w:cs="URW Palladio L"/>
          <w:szCs w:val="21"/>
        </w:rPr>
        <w:t xml:space="preserve">ow data developed by the Bureau of Reclamation in the </w:t>
      </w:r>
      <w:r w:rsidR="00977BCD" w:rsidRPr="00321DE4">
        <w:rPr>
          <w:rFonts w:cs="URW Palladio L"/>
          <w:szCs w:val="21"/>
        </w:rPr>
        <w:t>UCRB that</w:t>
      </w:r>
      <w:r w:rsidR="00E34A2F" w:rsidRPr="00321DE4">
        <w:rPr>
          <w:rFonts w:cs="URW Palladio L"/>
          <w:szCs w:val="21"/>
        </w:rPr>
        <w:t xml:space="preserve"> cur</w:t>
      </w:r>
      <w:r w:rsidR="00E34A2F" w:rsidRPr="00321DE4">
        <w:rPr>
          <w:rFonts w:cs="URW Palladio L"/>
          <w:szCs w:val="21"/>
        </w:rPr>
        <w:softHyphen/>
        <w:t>rently extends t</w:t>
      </w:r>
      <w:r w:rsidRPr="00321DE4">
        <w:rPr>
          <w:rFonts w:cs="URW Palladio L"/>
          <w:szCs w:val="21"/>
        </w:rPr>
        <w:t>o 2007. The data is available</w:t>
      </w:r>
      <w:r w:rsidR="00E34A2F" w:rsidRPr="00321DE4">
        <w:rPr>
          <w:rFonts w:cs="URW Palladio L"/>
          <w:szCs w:val="21"/>
        </w:rPr>
        <w:t xml:space="preserve"> from </w:t>
      </w:r>
      <w:hyperlink w:history="1">
        <w:r w:rsidR="00E34A2F" w:rsidRPr="00321DE4">
          <w:rPr>
            <w:rFonts w:cs="Nimbus Mon L"/>
            <w:szCs w:val="19"/>
          </w:rPr>
          <w:t xml:space="preserve">http://www.usbr.gov/lc/region/g4000/ </w:t>
        </w:r>
      </w:hyperlink>
      <w:hyperlink w:history="1">
        <w:r w:rsidR="00E34A2F" w:rsidRPr="00321DE4">
          <w:rPr>
            <w:rFonts w:cs="Nimbus Mon L"/>
            <w:szCs w:val="19"/>
          </w:rPr>
          <w:t>NaturalFlow/index.html</w:t>
        </w:r>
        <w:r w:rsidR="00E34A2F" w:rsidRPr="00321DE4">
          <w:rPr>
            <w:rFonts w:cs="URW Palladio L"/>
            <w:szCs w:val="21"/>
          </w:rPr>
          <w:t xml:space="preserve">. </w:t>
        </w:r>
      </w:hyperlink>
      <w:r w:rsidRPr="00321DE4">
        <w:t xml:space="preserve"> The data is provided as both intervening (gains since the last upstream gauge) or as total flow (sum of all upstream intervening flow at a gauge).  </w:t>
      </w:r>
      <w:r w:rsidR="00321DE4">
        <w:t xml:space="preserve">We use the intervening data but convert to total flow internally for reasons described in the methodology section. </w:t>
      </w:r>
    </w:p>
    <w:p w:rsidR="004142E1" w:rsidRPr="003F3B3C" w:rsidRDefault="00D56F82" w:rsidP="004142E1">
      <w:pPr>
        <w:spacing w:line="480" w:lineRule="auto"/>
        <w:jc w:val="center"/>
        <w:rPr>
          <w:szCs w:val="21"/>
        </w:rPr>
      </w:pPr>
      <w:r>
        <w:rPr>
          <w:szCs w:val="21"/>
        </w:rPr>
        <w:t xml:space="preserve">Table 1: Site Information. Key sites are listed in bold. </w:t>
      </w:r>
    </w:p>
    <w:tbl>
      <w:tblPr>
        <w:tblW w:w="0" w:type="auto"/>
        <w:jc w:val="center"/>
        <w:tblBorders>
          <w:top w:val="nil"/>
          <w:left w:val="nil"/>
          <w:bottom w:val="nil"/>
          <w:right w:val="nil"/>
        </w:tblBorders>
        <w:tblLayout w:type="fixed"/>
        <w:tblLook w:val="0000"/>
      </w:tblPr>
      <w:tblGrid>
        <w:gridCol w:w="826"/>
        <w:gridCol w:w="1509"/>
        <w:gridCol w:w="4819"/>
      </w:tblGrid>
      <w:tr w:rsidR="004142E1" w:rsidRPr="003F3B3C">
        <w:trPr>
          <w:cantSplit/>
          <w:trHeight w:val="146"/>
          <w:jc w:val="center"/>
        </w:trPr>
        <w:tc>
          <w:tcPr>
            <w:tcW w:w="826" w:type="dxa"/>
            <w:tcBorders>
              <w:top w:val="single" w:sz="6" w:space="0" w:color="auto"/>
              <w:bottom w:val="single" w:sz="6" w:space="0" w:color="000000"/>
            </w:tcBorders>
          </w:tcPr>
          <w:p w:rsidR="004142E1" w:rsidRPr="003F3B3C" w:rsidRDefault="004142E1">
            <w:pPr>
              <w:jc w:val="right"/>
              <w:rPr>
                <w:sz w:val="21"/>
                <w:szCs w:val="21"/>
              </w:rPr>
            </w:pPr>
            <w:r w:rsidRPr="003F3B3C">
              <w:rPr>
                <w:sz w:val="21"/>
                <w:szCs w:val="21"/>
              </w:rPr>
              <w:t xml:space="preserve">Node </w:t>
            </w:r>
          </w:p>
        </w:tc>
        <w:tc>
          <w:tcPr>
            <w:tcW w:w="1509" w:type="dxa"/>
            <w:tcBorders>
              <w:top w:val="single" w:sz="6" w:space="0" w:color="auto"/>
              <w:bottom w:val="single" w:sz="6" w:space="0" w:color="000000"/>
            </w:tcBorders>
          </w:tcPr>
          <w:p w:rsidR="004142E1" w:rsidRPr="003F3B3C" w:rsidRDefault="004142E1">
            <w:pPr>
              <w:jc w:val="right"/>
              <w:rPr>
                <w:sz w:val="21"/>
                <w:szCs w:val="21"/>
              </w:rPr>
            </w:pPr>
            <w:r w:rsidRPr="003F3B3C">
              <w:rPr>
                <w:sz w:val="21"/>
                <w:szCs w:val="21"/>
              </w:rPr>
              <w:t xml:space="preserve">USGS Gauge </w:t>
            </w:r>
          </w:p>
        </w:tc>
        <w:tc>
          <w:tcPr>
            <w:tcW w:w="4819" w:type="dxa"/>
            <w:tcBorders>
              <w:top w:val="single" w:sz="6" w:space="0" w:color="auto"/>
              <w:bottom w:val="single" w:sz="6" w:space="0" w:color="000000"/>
            </w:tcBorders>
          </w:tcPr>
          <w:p w:rsidR="004142E1" w:rsidRPr="003F3B3C" w:rsidRDefault="004142E1" w:rsidP="00F93A32">
            <w:pPr>
              <w:rPr>
                <w:sz w:val="21"/>
                <w:szCs w:val="21"/>
              </w:rPr>
            </w:pPr>
            <w:r w:rsidRPr="003F3B3C">
              <w:rPr>
                <w:sz w:val="21"/>
                <w:szCs w:val="21"/>
              </w:rPr>
              <w:t xml:space="preserve">Site Name </w:t>
            </w:r>
          </w:p>
        </w:tc>
      </w:tr>
      <w:tr w:rsidR="004142E1" w:rsidRPr="003F3B3C">
        <w:trPr>
          <w:cantSplit/>
          <w:trHeight w:val="166"/>
          <w:jc w:val="center"/>
        </w:trPr>
        <w:tc>
          <w:tcPr>
            <w:tcW w:w="826" w:type="dxa"/>
            <w:tcBorders>
              <w:top w:val="single" w:sz="6" w:space="0" w:color="000000"/>
            </w:tcBorders>
            <w:vAlign w:val="center"/>
          </w:tcPr>
          <w:p w:rsidR="004142E1" w:rsidRPr="003F3B3C" w:rsidRDefault="004142E1">
            <w:pPr>
              <w:jc w:val="right"/>
              <w:rPr>
                <w:sz w:val="21"/>
                <w:szCs w:val="21"/>
              </w:rPr>
            </w:pPr>
            <w:r w:rsidRPr="003F3B3C">
              <w:rPr>
                <w:sz w:val="21"/>
                <w:szCs w:val="21"/>
              </w:rPr>
              <w:t xml:space="preserve">1 </w:t>
            </w:r>
          </w:p>
        </w:tc>
        <w:tc>
          <w:tcPr>
            <w:tcW w:w="1509" w:type="dxa"/>
            <w:tcBorders>
              <w:top w:val="single" w:sz="6" w:space="0" w:color="000000"/>
            </w:tcBorders>
            <w:vAlign w:val="center"/>
          </w:tcPr>
          <w:p w:rsidR="004142E1" w:rsidRPr="003F3B3C" w:rsidRDefault="004142E1" w:rsidP="00F93A32">
            <w:pPr>
              <w:jc w:val="center"/>
              <w:rPr>
                <w:sz w:val="21"/>
                <w:szCs w:val="21"/>
              </w:rPr>
            </w:pPr>
            <w:r w:rsidRPr="003F3B3C">
              <w:rPr>
                <w:sz w:val="21"/>
                <w:szCs w:val="21"/>
              </w:rPr>
              <w:t>09072500</w:t>
            </w:r>
          </w:p>
        </w:tc>
        <w:tc>
          <w:tcPr>
            <w:tcW w:w="4819" w:type="dxa"/>
            <w:tcBorders>
              <w:top w:val="single" w:sz="6" w:space="0" w:color="000000"/>
            </w:tcBorders>
            <w:vAlign w:val="center"/>
          </w:tcPr>
          <w:p w:rsidR="004142E1" w:rsidRPr="003F3B3C" w:rsidRDefault="004142E1" w:rsidP="00F93A32">
            <w:pPr>
              <w:rPr>
                <w:sz w:val="21"/>
                <w:szCs w:val="21"/>
              </w:rPr>
            </w:pPr>
            <w:r w:rsidRPr="003F3B3C">
              <w:rPr>
                <w:sz w:val="21"/>
                <w:szCs w:val="21"/>
              </w:rPr>
              <w:t xml:space="preserve">Colorado River At Glenwood Springs,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2 </w:t>
            </w:r>
          </w:p>
        </w:tc>
        <w:tc>
          <w:tcPr>
            <w:tcW w:w="1509" w:type="dxa"/>
          </w:tcPr>
          <w:p w:rsidR="004142E1" w:rsidRPr="003F3B3C" w:rsidRDefault="004142E1" w:rsidP="00F93A32">
            <w:pPr>
              <w:jc w:val="center"/>
              <w:rPr>
                <w:sz w:val="21"/>
                <w:szCs w:val="21"/>
              </w:rPr>
            </w:pPr>
            <w:r w:rsidRPr="003F3B3C">
              <w:rPr>
                <w:sz w:val="21"/>
                <w:szCs w:val="21"/>
              </w:rPr>
              <w:t>09095500</w:t>
            </w:r>
          </w:p>
        </w:tc>
        <w:tc>
          <w:tcPr>
            <w:tcW w:w="4819" w:type="dxa"/>
          </w:tcPr>
          <w:p w:rsidR="004142E1" w:rsidRPr="003F3B3C" w:rsidRDefault="004142E1" w:rsidP="00F93A32">
            <w:pPr>
              <w:rPr>
                <w:sz w:val="21"/>
                <w:szCs w:val="21"/>
              </w:rPr>
            </w:pPr>
            <w:r w:rsidRPr="003F3B3C">
              <w:rPr>
                <w:sz w:val="21"/>
                <w:szCs w:val="21"/>
              </w:rPr>
              <w:t xml:space="preserve">Colorado River Near Cameo, CO </w:t>
            </w:r>
          </w:p>
        </w:tc>
      </w:tr>
      <w:tr w:rsidR="004142E1" w:rsidRPr="003F3B3C">
        <w:trPr>
          <w:cantSplit/>
          <w:trHeight w:val="140"/>
          <w:jc w:val="center"/>
        </w:trPr>
        <w:tc>
          <w:tcPr>
            <w:tcW w:w="826" w:type="dxa"/>
          </w:tcPr>
          <w:p w:rsidR="004142E1" w:rsidRPr="003F3B3C" w:rsidRDefault="004142E1">
            <w:pPr>
              <w:jc w:val="right"/>
              <w:rPr>
                <w:sz w:val="21"/>
                <w:szCs w:val="21"/>
              </w:rPr>
            </w:pPr>
            <w:r w:rsidRPr="003F3B3C">
              <w:rPr>
                <w:sz w:val="21"/>
                <w:szCs w:val="21"/>
              </w:rPr>
              <w:t xml:space="preserve">3 </w:t>
            </w:r>
          </w:p>
        </w:tc>
        <w:tc>
          <w:tcPr>
            <w:tcW w:w="1509" w:type="dxa"/>
          </w:tcPr>
          <w:p w:rsidR="004142E1" w:rsidRPr="003F3B3C" w:rsidRDefault="004142E1" w:rsidP="00F93A32">
            <w:pPr>
              <w:jc w:val="center"/>
              <w:rPr>
                <w:sz w:val="21"/>
                <w:szCs w:val="21"/>
              </w:rPr>
            </w:pPr>
            <w:r w:rsidRPr="003F3B3C">
              <w:rPr>
                <w:sz w:val="21"/>
                <w:szCs w:val="21"/>
              </w:rPr>
              <w:t>09109000</w:t>
            </w:r>
          </w:p>
        </w:tc>
        <w:tc>
          <w:tcPr>
            <w:tcW w:w="4819" w:type="dxa"/>
          </w:tcPr>
          <w:p w:rsidR="004142E1" w:rsidRPr="003F3B3C" w:rsidRDefault="004142E1" w:rsidP="00F93A32">
            <w:pPr>
              <w:rPr>
                <w:sz w:val="21"/>
                <w:szCs w:val="21"/>
              </w:rPr>
            </w:pPr>
            <w:r w:rsidRPr="003F3B3C">
              <w:rPr>
                <w:sz w:val="21"/>
                <w:szCs w:val="21"/>
              </w:rPr>
              <w:t xml:space="preserve">Taylor River Below Taylor Park Reservoir,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4 </w:t>
            </w:r>
          </w:p>
        </w:tc>
        <w:tc>
          <w:tcPr>
            <w:tcW w:w="1509" w:type="dxa"/>
          </w:tcPr>
          <w:p w:rsidR="004142E1" w:rsidRPr="003F3B3C" w:rsidRDefault="004142E1" w:rsidP="00F93A32">
            <w:pPr>
              <w:jc w:val="center"/>
              <w:rPr>
                <w:sz w:val="21"/>
                <w:szCs w:val="21"/>
              </w:rPr>
            </w:pPr>
            <w:r w:rsidRPr="003F3B3C">
              <w:rPr>
                <w:sz w:val="21"/>
                <w:szCs w:val="21"/>
              </w:rPr>
              <w:t>09124700</w:t>
            </w:r>
          </w:p>
        </w:tc>
        <w:tc>
          <w:tcPr>
            <w:tcW w:w="4819" w:type="dxa"/>
          </w:tcPr>
          <w:p w:rsidR="004142E1" w:rsidRPr="003F3B3C" w:rsidRDefault="00977BCD" w:rsidP="00F93A32">
            <w:pPr>
              <w:rPr>
                <w:sz w:val="21"/>
                <w:szCs w:val="21"/>
              </w:rPr>
            </w:pPr>
            <w:r w:rsidRPr="003F3B3C">
              <w:rPr>
                <w:sz w:val="21"/>
                <w:szCs w:val="21"/>
              </w:rPr>
              <w:t>Gunnison</w:t>
            </w:r>
            <w:r w:rsidR="004142E1" w:rsidRPr="003F3B3C">
              <w:rPr>
                <w:sz w:val="21"/>
                <w:szCs w:val="21"/>
              </w:rPr>
              <w:t xml:space="preserve"> River Above Blue Mesa Reservoir, CO </w:t>
            </w:r>
          </w:p>
        </w:tc>
      </w:tr>
      <w:tr w:rsidR="004142E1" w:rsidRPr="003F3B3C">
        <w:trPr>
          <w:cantSplit/>
          <w:trHeight w:val="140"/>
          <w:jc w:val="center"/>
        </w:trPr>
        <w:tc>
          <w:tcPr>
            <w:tcW w:w="826" w:type="dxa"/>
          </w:tcPr>
          <w:p w:rsidR="004142E1" w:rsidRPr="003F3B3C" w:rsidRDefault="004142E1">
            <w:pPr>
              <w:jc w:val="right"/>
              <w:rPr>
                <w:sz w:val="21"/>
                <w:szCs w:val="21"/>
              </w:rPr>
            </w:pPr>
            <w:r w:rsidRPr="003F3B3C">
              <w:rPr>
                <w:sz w:val="21"/>
                <w:szCs w:val="21"/>
              </w:rPr>
              <w:t xml:space="preserve">5 </w:t>
            </w:r>
          </w:p>
        </w:tc>
        <w:tc>
          <w:tcPr>
            <w:tcW w:w="1509" w:type="dxa"/>
          </w:tcPr>
          <w:p w:rsidR="004142E1" w:rsidRPr="003F3B3C" w:rsidRDefault="004142E1" w:rsidP="00F93A32">
            <w:pPr>
              <w:jc w:val="center"/>
              <w:rPr>
                <w:sz w:val="21"/>
                <w:szCs w:val="21"/>
              </w:rPr>
            </w:pPr>
            <w:r w:rsidRPr="003F3B3C">
              <w:rPr>
                <w:sz w:val="21"/>
                <w:szCs w:val="21"/>
              </w:rPr>
              <w:t>09127800</w:t>
            </w:r>
          </w:p>
        </w:tc>
        <w:tc>
          <w:tcPr>
            <w:tcW w:w="4819" w:type="dxa"/>
          </w:tcPr>
          <w:p w:rsidR="004142E1" w:rsidRPr="003F3B3C" w:rsidRDefault="004142E1" w:rsidP="00F93A32">
            <w:pPr>
              <w:rPr>
                <w:sz w:val="21"/>
                <w:szCs w:val="21"/>
              </w:rPr>
            </w:pPr>
            <w:r w:rsidRPr="003F3B3C">
              <w:rPr>
                <w:sz w:val="21"/>
                <w:szCs w:val="21"/>
              </w:rPr>
              <w:t xml:space="preserve">Gunnison River At Crystal Reservoir,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6 </w:t>
            </w:r>
          </w:p>
        </w:tc>
        <w:tc>
          <w:tcPr>
            <w:tcW w:w="1509" w:type="dxa"/>
          </w:tcPr>
          <w:p w:rsidR="004142E1" w:rsidRPr="003F3B3C" w:rsidRDefault="004142E1" w:rsidP="00F93A32">
            <w:pPr>
              <w:jc w:val="center"/>
              <w:rPr>
                <w:sz w:val="21"/>
                <w:szCs w:val="21"/>
              </w:rPr>
            </w:pPr>
            <w:r w:rsidRPr="003F3B3C">
              <w:rPr>
                <w:sz w:val="21"/>
                <w:szCs w:val="21"/>
              </w:rPr>
              <w:t>09152500</w:t>
            </w:r>
          </w:p>
        </w:tc>
        <w:tc>
          <w:tcPr>
            <w:tcW w:w="4819" w:type="dxa"/>
          </w:tcPr>
          <w:p w:rsidR="004142E1" w:rsidRPr="003F3B3C" w:rsidRDefault="004142E1" w:rsidP="00F93A32">
            <w:pPr>
              <w:rPr>
                <w:sz w:val="21"/>
                <w:szCs w:val="21"/>
              </w:rPr>
            </w:pPr>
            <w:r w:rsidRPr="003F3B3C">
              <w:rPr>
                <w:sz w:val="21"/>
                <w:szCs w:val="21"/>
              </w:rPr>
              <w:t xml:space="preserve">Gunnison River Near Grand Junction, CO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7 </w:t>
            </w:r>
          </w:p>
        </w:tc>
        <w:tc>
          <w:tcPr>
            <w:tcW w:w="1509" w:type="dxa"/>
          </w:tcPr>
          <w:p w:rsidR="004142E1" w:rsidRPr="003F3B3C" w:rsidRDefault="004142E1" w:rsidP="00F93A32">
            <w:pPr>
              <w:jc w:val="center"/>
              <w:rPr>
                <w:sz w:val="21"/>
                <w:szCs w:val="21"/>
              </w:rPr>
            </w:pPr>
            <w:r w:rsidRPr="003F3B3C">
              <w:rPr>
                <w:sz w:val="21"/>
                <w:szCs w:val="21"/>
              </w:rPr>
              <w:t>09180000</w:t>
            </w:r>
          </w:p>
        </w:tc>
        <w:tc>
          <w:tcPr>
            <w:tcW w:w="4819" w:type="dxa"/>
          </w:tcPr>
          <w:p w:rsidR="004142E1" w:rsidRPr="003F3B3C" w:rsidRDefault="004142E1" w:rsidP="00F93A32">
            <w:pPr>
              <w:rPr>
                <w:sz w:val="21"/>
                <w:szCs w:val="21"/>
              </w:rPr>
            </w:pPr>
            <w:r w:rsidRPr="003F3B3C">
              <w:rPr>
                <w:sz w:val="21"/>
                <w:szCs w:val="21"/>
              </w:rPr>
              <w:t xml:space="preserve">Dolores River Near Cisco, UT </w:t>
            </w:r>
          </w:p>
        </w:tc>
      </w:tr>
      <w:tr w:rsidR="004142E1" w:rsidRPr="003F3B3C">
        <w:trPr>
          <w:cantSplit/>
          <w:trHeight w:val="135"/>
          <w:jc w:val="center"/>
        </w:trPr>
        <w:tc>
          <w:tcPr>
            <w:tcW w:w="826" w:type="dxa"/>
          </w:tcPr>
          <w:p w:rsidR="004142E1" w:rsidRPr="00321DE4" w:rsidRDefault="004142E1">
            <w:pPr>
              <w:jc w:val="right"/>
              <w:rPr>
                <w:b/>
                <w:sz w:val="21"/>
                <w:szCs w:val="21"/>
              </w:rPr>
            </w:pPr>
            <w:r w:rsidRPr="00321DE4">
              <w:rPr>
                <w:b/>
                <w:sz w:val="21"/>
                <w:szCs w:val="21"/>
              </w:rPr>
              <w:t xml:space="preserve">8 </w:t>
            </w:r>
          </w:p>
        </w:tc>
        <w:tc>
          <w:tcPr>
            <w:tcW w:w="1509" w:type="dxa"/>
          </w:tcPr>
          <w:p w:rsidR="004142E1" w:rsidRPr="00321DE4" w:rsidRDefault="004142E1" w:rsidP="00F93A32">
            <w:pPr>
              <w:jc w:val="center"/>
              <w:rPr>
                <w:b/>
                <w:sz w:val="21"/>
                <w:szCs w:val="21"/>
              </w:rPr>
            </w:pPr>
            <w:r w:rsidRPr="00321DE4">
              <w:rPr>
                <w:b/>
                <w:sz w:val="21"/>
                <w:szCs w:val="21"/>
              </w:rPr>
              <w:t>09180500</w:t>
            </w:r>
          </w:p>
        </w:tc>
        <w:tc>
          <w:tcPr>
            <w:tcW w:w="4819" w:type="dxa"/>
          </w:tcPr>
          <w:p w:rsidR="004142E1" w:rsidRPr="00321DE4" w:rsidRDefault="004142E1" w:rsidP="00F93A32">
            <w:pPr>
              <w:rPr>
                <w:b/>
                <w:sz w:val="21"/>
                <w:szCs w:val="21"/>
              </w:rPr>
            </w:pPr>
            <w:r w:rsidRPr="00321DE4">
              <w:rPr>
                <w:b/>
                <w:sz w:val="21"/>
                <w:szCs w:val="21"/>
              </w:rPr>
              <w:t xml:space="preserve">Colorado River Near Cisco,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9 </w:t>
            </w:r>
          </w:p>
        </w:tc>
        <w:tc>
          <w:tcPr>
            <w:tcW w:w="1509" w:type="dxa"/>
          </w:tcPr>
          <w:p w:rsidR="004142E1" w:rsidRPr="003F3B3C" w:rsidRDefault="004142E1" w:rsidP="00F93A32">
            <w:pPr>
              <w:jc w:val="center"/>
              <w:rPr>
                <w:sz w:val="21"/>
                <w:szCs w:val="21"/>
              </w:rPr>
            </w:pPr>
            <w:r w:rsidRPr="003F3B3C">
              <w:rPr>
                <w:sz w:val="21"/>
                <w:szCs w:val="21"/>
              </w:rPr>
              <w:t>09211200</w:t>
            </w:r>
          </w:p>
        </w:tc>
        <w:tc>
          <w:tcPr>
            <w:tcW w:w="4819" w:type="dxa"/>
          </w:tcPr>
          <w:p w:rsidR="004142E1" w:rsidRPr="003F3B3C" w:rsidRDefault="004142E1" w:rsidP="00F93A32">
            <w:pPr>
              <w:rPr>
                <w:sz w:val="21"/>
                <w:szCs w:val="21"/>
              </w:rPr>
            </w:pPr>
            <w:r w:rsidRPr="003F3B3C">
              <w:rPr>
                <w:sz w:val="21"/>
                <w:szCs w:val="21"/>
              </w:rPr>
              <w:t xml:space="preserve">Green R Bel Fontenelle Res, WY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10 </w:t>
            </w:r>
          </w:p>
        </w:tc>
        <w:tc>
          <w:tcPr>
            <w:tcW w:w="1509" w:type="dxa"/>
          </w:tcPr>
          <w:p w:rsidR="004142E1" w:rsidRPr="003F3B3C" w:rsidRDefault="004142E1" w:rsidP="00F93A32">
            <w:pPr>
              <w:jc w:val="center"/>
              <w:rPr>
                <w:sz w:val="21"/>
                <w:szCs w:val="21"/>
              </w:rPr>
            </w:pPr>
            <w:r w:rsidRPr="003F3B3C">
              <w:rPr>
                <w:sz w:val="21"/>
                <w:szCs w:val="21"/>
              </w:rPr>
              <w:t>09217000</w:t>
            </w:r>
          </w:p>
        </w:tc>
        <w:tc>
          <w:tcPr>
            <w:tcW w:w="4819" w:type="dxa"/>
          </w:tcPr>
          <w:p w:rsidR="004142E1" w:rsidRPr="003F3B3C" w:rsidRDefault="004142E1" w:rsidP="00F93A32">
            <w:pPr>
              <w:rPr>
                <w:sz w:val="21"/>
                <w:szCs w:val="21"/>
              </w:rPr>
            </w:pPr>
            <w:r w:rsidRPr="003F3B3C">
              <w:rPr>
                <w:sz w:val="21"/>
                <w:szCs w:val="21"/>
              </w:rPr>
              <w:t xml:space="preserve">Green R. Nr Green River, WY </w:t>
            </w:r>
          </w:p>
        </w:tc>
      </w:tr>
      <w:tr w:rsidR="004142E1" w:rsidRPr="003F3B3C">
        <w:trPr>
          <w:cantSplit/>
          <w:trHeight w:val="135"/>
          <w:jc w:val="center"/>
        </w:trPr>
        <w:tc>
          <w:tcPr>
            <w:tcW w:w="826" w:type="dxa"/>
          </w:tcPr>
          <w:p w:rsidR="004142E1" w:rsidRPr="006A3625" w:rsidRDefault="004142E1">
            <w:pPr>
              <w:jc w:val="right"/>
              <w:rPr>
                <w:sz w:val="21"/>
                <w:szCs w:val="21"/>
              </w:rPr>
            </w:pPr>
            <w:r w:rsidRPr="006A3625">
              <w:rPr>
                <w:sz w:val="21"/>
                <w:szCs w:val="21"/>
              </w:rPr>
              <w:t xml:space="preserve">11 </w:t>
            </w:r>
          </w:p>
        </w:tc>
        <w:tc>
          <w:tcPr>
            <w:tcW w:w="1509" w:type="dxa"/>
          </w:tcPr>
          <w:p w:rsidR="004142E1" w:rsidRPr="006A3625" w:rsidRDefault="004142E1" w:rsidP="00F93A32">
            <w:pPr>
              <w:jc w:val="center"/>
              <w:rPr>
                <w:sz w:val="21"/>
                <w:szCs w:val="21"/>
              </w:rPr>
            </w:pPr>
            <w:r w:rsidRPr="006A3625">
              <w:rPr>
                <w:sz w:val="21"/>
                <w:szCs w:val="21"/>
              </w:rPr>
              <w:t>09234500</w:t>
            </w:r>
          </w:p>
        </w:tc>
        <w:tc>
          <w:tcPr>
            <w:tcW w:w="4819" w:type="dxa"/>
          </w:tcPr>
          <w:p w:rsidR="004142E1" w:rsidRPr="006A3625" w:rsidRDefault="004142E1" w:rsidP="00F93A32">
            <w:pPr>
              <w:rPr>
                <w:sz w:val="21"/>
                <w:szCs w:val="21"/>
              </w:rPr>
            </w:pPr>
            <w:r w:rsidRPr="006A3625">
              <w:rPr>
                <w:sz w:val="21"/>
                <w:szCs w:val="21"/>
              </w:rPr>
              <w:t xml:space="preserve">Green River Near Greendale, UT </w:t>
            </w:r>
          </w:p>
        </w:tc>
      </w:tr>
      <w:tr w:rsidR="004142E1" w:rsidRPr="003F3B3C">
        <w:trPr>
          <w:cantSplit/>
          <w:trHeight w:val="140"/>
          <w:jc w:val="center"/>
        </w:trPr>
        <w:tc>
          <w:tcPr>
            <w:tcW w:w="826" w:type="dxa"/>
          </w:tcPr>
          <w:p w:rsidR="004142E1" w:rsidRPr="003F3B3C" w:rsidRDefault="004142E1">
            <w:pPr>
              <w:jc w:val="right"/>
              <w:rPr>
                <w:sz w:val="21"/>
                <w:szCs w:val="21"/>
              </w:rPr>
            </w:pPr>
            <w:r w:rsidRPr="003F3B3C">
              <w:rPr>
                <w:sz w:val="21"/>
                <w:szCs w:val="21"/>
              </w:rPr>
              <w:t xml:space="preserve">12 </w:t>
            </w:r>
          </w:p>
        </w:tc>
        <w:tc>
          <w:tcPr>
            <w:tcW w:w="1509" w:type="dxa"/>
          </w:tcPr>
          <w:p w:rsidR="004142E1" w:rsidRPr="003F3B3C" w:rsidRDefault="004142E1" w:rsidP="00F93A32">
            <w:pPr>
              <w:jc w:val="center"/>
              <w:rPr>
                <w:sz w:val="21"/>
                <w:szCs w:val="21"/>
              </w:rPr>
            </w:pPr>
            <w:r w:rsidRPr="003F3B3C">
              <w:rPr>
                <w:sz w:val="21"/>
                <w:szCs w:val="21"/>
              </w:rPr>
              <w:t>09251000</w:t>
            </w:r>
          </w:p>
        </w:tc>
        <w:tc>
          <w:tcPr>
            <w:tcW w:w="4819" w:type="dxa"/>
          </w:tcPr>
          <w:p w:rsidR="004142E1" w:rsidRPr="003F3B3C" w:rsidRDefault="004142E1" w:rsidP="00F93A32">
            <w:pPr>
              <w:rPr>
                <w:sz w:val="21"/>
                <w:szCs w:val="21"/>
              </w:rPr>
            </w:pPr>
            <w:r w:rsidRPr="003F3B3C">
              <w:rPr>
                <w:sz w:val="21"/>
                <w:szCs w:val="21"/>
              </w:rPr>
              <w:t xml:space="preserve">Yampa River Near Maybell, CO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13 </w:t>
            </w:r>
          </w:p>
        </w:tc>
        <w:tc>
          <w:tcPr>
            <w:tcW w:w="1509" w:type="dxa"/>
          </w:tcPr>
          <w:p w:rsidR="004142E1" w:rsidRPr="003F3B3C" w:rsidRDefault="004142E1" w:rsidP="00F93A32">
            <w:pPr>
              <w:jc w:val="center"/>
              <w:rPr>
                <w:sz w:val="21"/>
                <w:szCs w:val="21"/>
              </w:rPr>
            </w:pPr>
            <w:r w:rsidRPr="003F3B3C">
              <w:rPr>
                <w:sz w:val="21"/>
                <w:szCs w:val="21"/>
              </w:rPr>
              <w:t>09260000</w:t>
            </w:r>
          </w:p>
        </w:tc>
        <w:tc>
          <w:tcPr>
            <w:tcW w:w="4819" w:type="dxa"/>
          </w:tcPr>
          <w:p w:rsidR="004142E1" w:rsidRPr="003F3B3C" w:rsidRDefault="004142E1" w:rsidP="00F93A32">
            <w:pPr>
              <w:rPr>
                <w:sz w:val="21"/>
                <w:szCs w:val="21"/>
              </w:rPr>
            </w:pPr>
            <w:r w:rsidRPr="003F3B3C">
              <w:rPr>
                <w:sz w:val="21"/>
                <w:szCs w:val="21"/>
              </w:rPr>
              <w:t xml:space="preserve">Little Snake River Near Lily, CO </w:t>
            </w:r>
          </w:p>
        </w:tc>
      </w:tr>
      <w:tr w:rsidR="004142E1" w:rsidRPr="003F3B3C">
        <w:trPr>
          <w:cantSplit/>
          <w:trHeight w:val="131"/>
          <w:jc w:val="center"/>
        </w:trPr>
        <w:tc>
          <w:tcPr>
            <w:tcW w:w="826" w:type="dxa"/>
          </w:tcPr>
          <w:p w:rsidR="004142E1" w:rsidRPr="003F3B3C" w:rsidRDefault="004142E1">
            <w:pPr>
              <w:jc w:val="right"/>
              <w:rPr>
                <w:sz w:val="21"/>
                <w:szCs w:val="21"/>
              </w:rPr>
            </w:pPr>
            <w:r w:rsidRPr="003F3B3C">
              <w:rPr>
                <w:sz w:val="21"/>
                <w:szCs w:val="21"/>
              </w:rPr>
              <w:t xml:space="preserve">14 </w:t>
            </w:r>
          </w:p>
        </w:tc>
        <w:tc>
          <w:tcPr>
            <w:tcW w:w="1509" w:type="dxa"/>
          </w:tcPr>
          <w:p w:rsidR="004142E1" w:rsidRPr="003F3B3C" w:rsidRDefault="004142E1" w:rsidP="00F93A32">
            <w:pPr>
              <w:jc w:val="center"/>
              <w:rPr>
                <w:sz w:val="21"/>
                <w:szCs w:val="21"/>
              </w:rPr>
            </w:pPr>
            <w:r w:rsidRPr="003F3B3C">
              <w:rPr>
                <w:sz w:val="21"/>
                <w:szCs w:val="21"/>
              </w:rPr>
              <w:t>09302000</w:t>
            </w:r>
          </w:p>
        </w:tc>
        <w:tc>
          <w:tcPr>
            <w:tcW w:w="4819" w:type="dxa"/>
          </w:tcPr>
          <w:p w:rsidR="004142E1" w:rsidRPr="003F3B3C" w:rsidRDefault="004142E1" w:rsidP="00F93A32">
            <w:pPr>
              <w:rPr>
                <w:sz w:val="21"/>
                <w:szCs w:val="21"/>
              </w:rPr>
            </w:pPr>
            <w:r w:rsidRPr="003F3B3C">
              <w:rPr>
                <w:sz w:val="21"/>
                <w:szCs w:val="21"/>
              </w:rPr>
              <w:t xml:space="preserve">Duchesne River Near Randlett,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15 </w:t>
            </w:r>
          </w:p>
        </w:tc>
        <w:tc>
          <w:tcPr>
            <w:tcW w:w="1509" w:type="dxa"/>
          </w:tcPr>
          <w:p w:rsidR="004142E1" w:rsidRPr="003F3B3C" w:rsidRDefault="004142E1" w:rsidP="00F93A32">
            <w:pPr>
              <w:jc w:val="center"/>
              <w:rPr>
                <w:sz w:val="21"/>
                <w:szCs w:val="21"/>
              </w:rPr>
            </w:pPr>
            <w:r w:rsidRPr="003F3B3C">
              <w:rPr>
                <w:sz w:val="21"/>
                <w:szCs w:val="21"/>
              </w:rPr>
              <w:t>09306500</w:t>
            </w:r>
          </w:p>
        </w:tc>
        <w:tc>
          <w:tcPr>
            <w:tcW w:w="4819" w:type="dxa"/>
          </w:tcPr>
          <w:p w:rsidR="004142E1" w:rsidRPr="003F3B3C" w:rsidRDefault="004142E1" w:rsidP="00F93A32">
            <w:pPr>
              <w:rPr>
                <w:sz w:val="21"/>
                <w:szCs w:val="21"/>
              </w:rPr>
            </w:pPr>
            <w:r w:rsidRPr="003F3B3C">
              <w:rPr>
                <w:sz w:val="21"/>
                <w:szCs w:val="21"/>
              </w:rPr>
              <w:t xml:space="preserve">White River Near Watson, UT </w:t>
            </w:r>
          </w:p>
        </w:tc>
      </w:tr>
      <w:tr w:rsidR="004142E1" w:rsidRPr="003F3B3C">
        <w:trPr>
          <w:cantSplit/>
          <w:trHeight w:val="135"/>
          <w:jc w:val="center"/>
        </w:trPr>
        <w:tc>
          <w:tcPr>
            <w:tcW w:w="826" w:type="dxa"/>
          </w:tcPr>
          <w:p w:rsidR="004142E1" w:rsidRPr="006A3625" w:rsidRDefault="004142E1">
            <w:pPr>
              <w:jc w:val="right"/>
              <w:rPr>
                <w:b/>
                <w:sz w:val="21"/>
                <w:szCs w:val="21"/>
              </w:rPr>
            </w:pPr>
            <w:r w:rsidRPr="006A3625">
              <w:rPr>
                <w:b/>
                <w:sz w:val="21"/>
                <w:szCs w:val="21"/>
              </w:rPr>
              <w:t xml:space="preserve">16 </w:t>
            </w:r>
          </w:p>
        </w:tc>
        <w:tc>
          <w:tcPr>
            <w:tcW w:w="1509" w:type="dxa"/>
          </w:tcPr>
          <w:p w:rsidR="004142E1" w:rsidRPr="006A3625" w:rsidRDefault="004142E1" w:rsidP="00F93A32">
            <w:pPr>
              <w:jc w:val="center"/>
              <w:rPr>
                <w:b/>
                <w:sz w:val="21"/>
                <w:szCs w:val="21"/>
              </w:rPr>
            </w:pPr>
            <w:r w:rsidRPr="006A3625">
              <w:rPr>
                <w:b/>
                <w:sz w:val="21"/>
                <w:szCs w:val="21"/>
              </w:rPr>
              <w:t>09315000</w:t>
            </w:r>
          </w:p>
        </w:tc>
        <w:tc>
          <w:tcPr>
            <w:tcW w:w="4819" w:type="dxa"/>
          </w:tcPr>
          <w:p w:rsidR="004142E1" w:rsidRPr="006A3625" w:rsidRDefault="004142E1" w:rsidP="00F93A32">
            <w:pPr>
              <w:rPr>
                <w:b/>
                <w:sz w:val="21"/>
                <w:szCs w:val="21"/>
              </w:rPr>
            </w:pPr>
            <w:r w:rsidRPr="006A3625">
              <w:rPr>
                <w:b/>
                <w:sz w:val="21"/>
                <w:szCs w:val="21"/>
              </w:rPr>
              <w:t xml:space="preserve">Green River At Green River,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17 </w:t>
            </w:r>
          </w:p>
        </w:tc>
        <w:tc>
          <w:tcPr>
            <w:tcW w:w="1509" w:type="dxa"/>
          </w:tcPr>
          <w:p w:rsidR="004142E1" w:rsidRPr="003F3B3C" w:rsidRDefault="004142E1" w:rsidP="00F93A32">
            <w:pPr>
              <w:jc w:val="center"/>
              <w:rPr>
                <w:sz w:val="21"/>
                <w:szCs w:val="21"/>
              </w:rPr>
            </w:pPr>
            <w:r w:rsidRPr="003F3B3C">
              <w:rPr>
                <w:sz w:val="21"/>
                <w:szCs w:val="21"/>
              </w:rPr>
              <w:t>09328500</w:t>
            </w:r>
          </w:p>
        </w:tc>
        <w:tc>
          <w:tcPr>
            <w:tcW w:w="4819" w:type="dxa"/>
          </w:tcPr>
          <w:p w:rsidR="004142E1" w:rsidRPr="003F3B3C" w:rsidRDefault="004142E1" w:rsidP="00F93A32">
            <w:pPr>
              <w:rPr>
                <w:sz w:val="21"/>
                <w:szCs w:val="21"/>
              </w:rPr>
            </w:pPr>
            <w:r w:rsidRPr="003F3B3C">
              <w:rPr>
                <w:sz w:val="21"/>
                <w:szCs w:val="21"/>
              </w:rPr>
              <w:t xml:space="preserve">San Rafael River Near Green River, UT </w:t>
            </w:r>
          </w:p>
        </w:tc>
      </w:tr>
      <w:tr w:rsidR="004142E1" w:rsidRPr="003F3B3C">
        <w:trPr>
          <w:cantSplit/>
          <w:trHeight w:val="135"/>
          <w:jc w:val="center"/>
        </w:trPr>
        <w:tc>
          <w:tcPr>
            <w:tcW w:w="826" w:type="dxa"/>
          </w:tcPr>
          <w:p w:rsidR="004142E1" w:rsidRPr="003F3B3C" w:rsidRDefault="004142E1">
            <w:pPr>
              <w:jc w:val="right"/>
              <w:rPr>
                <w:sz w:val="21"/>
                <w:szCs w:val="21"/>
              </w:rPr>
            </w:pPr>
            <w:r w:rsidRPr="003F3B3C">
              <w:rPr>
                <w:sz w:val="21"/>
                <w:szCs w:val="21"/>
              </w:rPr>
              <w:t xml:space="preserve">18 </w:t>
            </w:r>
          </w:p>
        </w:tc>
        <w:tc>
          <w:tcPr>
            <w:tcW w:w="1509" w:type="dxa"/>
          </w:tcPr>
          <w:p w:rsidR="004142E1" w:rsidRPr="003F3B3C" w:rsidRDefault="004142E1" w:rsidP="00F93A32">
            <w:pPr>
              <w:jc w:val="center"/>
              <w:rPr>
                <w:sz w:val="21"/>
                <w:szCs w:val="21"/>
              </w:rPr>
            </w:pPr>
            <w:r w:rsidRPr="003F3B3C">
              <w:rPr>
                <w:sz w:val="21"/>
                <w:szCs w:val="21"/>
              </w:rPr>
              <w:t>09355500</w:t>
            </w:r>
          </w:p>
        </w:tc>
        <w:tc>
          <w:tcPr>
            <w:tcW w:w="4819" w:type="dxa"/>
          </w:tcPr>
          <w:p w:rsidR="004142E1" w:rsidRPr="003F3B3C" w:rsidRDefault="004142E1" w:rsidP="00F93A32">
            <w:pPr>
              <w:rPr>
                <w:sz w:val="21"/>
                <w:szCs w:val="21"/>
              </w:rPr>
            </w:pPr>
            <w:r w:rsidRPr="003F3B3C">
              <w:rPr>
                <w:sz w:val="21"/>
                <w:szCs w:val="21"/>
              </w:rPr>
              <w:t xml:space="preserve">San Juan River Near Archuleta, NM </w:t>
            </w:r>
          </w:p>
        </w:tc>
      </w:tr>
      <w:tr w:rsidR="004142E1" w:rsidRPr="003F3B3C">
        <w:trPr>
          <w:cantSplit/>
          <w:trHeight w:val="100"/>
          <w:jc w:val="center"/>
        </w:trPr>
        <w:tc>
          <w:tcPr>
            <w:tcW w:w="826" w:type="dxa"/>
            <w:tcBorders>
              <w:bottom w:val="nil"/>
            </w:tcBorders>
          </w:tcPr>
          <w:p w:rsidR="004142E1" w:rsidRPr="002053D8" w:rsidRDefault="004142E1">
            <w:pPr>
              <w:jc w:val="right"/>
              <w:rPr>
                <w:b/>
                <w:sz w:val="21"/>
                <w:szCs w:val="21"/>
              </w:rPr>
            </w:pPr>
            <w:r w:rsidRPr="002053D8">
              <w:rPr>
                <w:b/>
                <w:sz w:val="21"/>
                <w:szCs w:val="21"/>
              </w:rPr>
              <w:t xml:space="preserve">19 </w:t>
            </w:r>
          </w:p>
        </w:tc>
        <w:tc>
          <w:tcPr>
            <w:tcW w:w="1509" w:type="dxa"/>
            <w:tcBorders>
              <w:bottom w:val="nil"/>
            </w:tcBorders>
          </w:tcPr>
          <w:p w:rsidR="004142E1" w:rsidRPr="002053D8" w:rsidRDefault="004142E1" w:rsidP="00F93A32">
            <w:pPr>
              <w:jc w:val="center"/>
              <w:rPr>
                <w:b/>
                <w:sz w:val="21"/>
                <w:szCs w:val="21"/>
              </w:rPr>
            </w:pPr>
            <w:r w:rsidRPr="002053D8">
              <w:rPr>
                <w:b/>
                <w:sz w:val="21"/>
                <w:szCs w:val="21"/>
              </w:rPr>
              <w:t>09379500</w:t>
            </w:r>
          </w:p>
        </w:tc>
        <w:tc>
          <w:tcPr>
            <w:tcW w:w="4819" w:type="dxa"/>
            <w:tcBorders>
              <w:bottom w:val="nil"/>
            </w:tcBorders>
          </w:tcPr>
          <w:p w:rsidR="004142E1" w:rsidRPr="002053D8" w:rsidRDefault="004142E1" w:rsidP="00F93A32">
            <w:pPr>
              <w:rPr>
                <w:b/>
                <w:sz w:val="21"/>
                <w:szCs w:val="21"/>
              </w:rPr>
            </w:pPr>
            <w:r w:rsidRPr="002053D8">
              <w:rPr>
                <w:b/>
                <w:sz w:val="21"/>
                <w:szCs w:val="21"/>
              </w:rPr>
              <w:t xml:space="preserve">San Juan River Near Bluff, UT </w:t>
            </w:r>
          </w:p>
        </w:tc>
      </w:tr>
      <w:tr w:rsidR="004142E1" w:rsidRPr="003F3B3C">
        <w:trPr>
          <w:cantSplit/>
          <w:trHeight w:val="125"/>
          <w:jc w:val="center"/>
        </w:trPr>
        <w:tc>
          <w:tcPr>
            <w:tcW w:w="826" w:type="dxa"/>
            <w:tcBorders>
              <w:top w:val="nil"/>
              <w:bottom w:val="single" w:sz="4" w:space="0" w:color="auto"/>
            </w:tcBorders>
            <w:vAlign w:val="center"/>
          </w:tcPr>
          <w:p w:rsidR="004142E1" w:rsidRPr="006A3625" w:rsidRDefault="004142E1">
            <w:pPr>
              <w:jc w:val="right"/>
              <w:rPr>
                <w:b/>
                <w:sz w:val="21"/>
                <w:szCs w:val="21"/>
              </w:rPr>
            </w:pPr>
            <w:r w:rsidRPr="006A3625">
              <w:rPr>
                <w:b/>
                <w:sz w:val="21"/>
                <w:szCs w:val="21"/>
              </w:rPr>
              <w:t xml:space="preserve">20 </w:t>
            </w:r>
          </w:p>
        </w:tc>
        <w:tc>
          <w:tcPr>
            <w:tcW w:w="1509" w:type="dxa"/>
            <w:tcBorders>
              <w:top w:val="nil"/>
              <w:bottom w:val="single" w:sz="4" w:space="0" w:color="auto"/>
            </w:tcBorders>
            <w:vAlign w:val="center"/>
          </w:tcPr>
          <w:p w:rsidR="004142E1" w:rsidRPr="006A3625" w:rsidRDefault="004142E1" w:rsidP="00F93A32">
            <w:pPr>
              <w:jc w:val="center"/>
              <w:rPr>
                <w:b/>
                <w:sz w:val="21"/>
                <w:szCs w:val="21"/>
              </w:rPr>
            </w:pPr>
            <w:r w:rsidRPr="006A3625">
              <w:rPr>
                <w:b/>
                <w:sz w:val="21"/>
                <w:szCs w:val="21"/>
              </w:rPr>
              <w:t>09380000</w:t>
            </w:r>
          </w:p>
        </w:tc>
        <w:tc>
          <w:tcPr>
            <w:tcW w:w="4819" w:type="dxa"/>
            <w:tcBorders>
              <w:top w:val="nil"/>
              <w:bottom w:val="single" w:sz="4" w:space="0" w:color="auto"/>
            </w:tcBorders>
            <w:vAlign w:val="center"/>
          </w:tcPr>
          <w:p w:rsidR="004142E1" w:rsidRPr="006A3625" w:rsidRDefault="004142E1" w:rsidP="00F93A32">
            <w:pPr>
              <w:rPr>
                <w:b/>
                <w:sz w:val="21"/>
                <w:szCs w:val="21"/>
              </w:rPr>
            </w:pPr>
            <w:r w:rsidRPr="006A3625">
              <w:rPr>
                <w:b/>
                <w:sz w:val="21"/>
                <w:szCs w:val="21"/>
              </w:rPr>
              <w:t xml:space="preserve">Colorado R At Lees Ferry, AZ </w:t>
            </w:r>
          </w:p>
        </w:tc>
      </w:tr>
    </w:tbl>
    <w:p w:rsidR="00E34A2F" w:rsidRPr="003F3B3C" w:rsidRDefault="00E34A2F" w:rsidP="004142E1"/>
    <w:p w:rsidR="004142E1" w:rsidRPr="003F3B3C" w:rsidRDefault="004142E1" w:rsidP="00D733AE">
      <w:pPr>
        <w:spacing w:after="120" w:line="480" w:lineRule="auto"/>
        <w:jc w:val="both"/>
        <w:rPr>
          <w:rFonts w:cs="URW Palladio L"/>
          <w:b/>
          <w:bCs/>
          <w:szCs w:val="23"/>
        </w:rPr>
      </w:pPr>
    </w:p>
    <w:p w:rsidR="00E34A2F" w:rsidRPr="003F3B3C" w:rsidRDefault="00E34A2F" w:rsidP="00D733AE">
      <w:pPr>
        <w:spacing w:after="120" w:line="480" w:lineRule="auto"/>
        <w:jc w:val="both"/>
        <w:rPr>
          <w:rFonts w:cs="URW Palladio L"/>
          <w:szCs w:val="23"/>
        </w:rPr>
      </w:pPr>
      <w:r w:rsidRPr="003F3B3C">
        <w:rPr>
          <w:rFonts w:cs="URW Palladio L"/>
          <w:b/>
          <w:bCs/>
          <w:szCs w:val="23"/>
        </w:rPr>
        <w:t xml:space="preserve">4 Methodology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We use the same framework as </w:t>
      </w:r>
      <w:r w:rsidRPr="003F3B3C">
        <w:rPr>
          <w:rFonts w:cs="URW Palladio L"/>
          <w:i/>
          <w:iCs/>
          <w:szCs w:val="21"/>
        </w:rPr>
        <w:t xml:space="preserve">Bracken et al. </w:t>
      </w:r>
      <w:r w:rsidRPr="003F3B3C">
        <w:rPr>
          <w:rFonts w:cs="URW Palladio L"/>
          <w:szCs w:val="21"/>
        </w:rPr>
        <w:t>(2010) with s</w:t>
      </w:r>
      <w:r w:rsidR="00D733AE" w:rsidRPr="003F3B3C">
        <w:rPr>
          <w:rFonts w:cs="URW Palladio L"/>
          <w:szCs w:val="21"/>
        </w:rPr>
        <w:t xml:space="preserve">ome notable changes. </w:t>
      </w:r>
      <w:r w:rsidR="00977BCD" w:rsidRPr="003F3B3C">
        <w:rPr>
          <w:rFonts w:cs="URW Palladio L"/>
          <w:szCs w:val="21"/>
        </w:rPr>
        <w:t xml:space="preserve">Most importantly we (1) expand the disaggregation to include all 20 natural </w:t>
      </w:r>
      <w:r w:rsidR="00977BCD">
        <w:rPr>
          <w:rFonts w:cs="URW Palladio L"/>
          <w:szCs w:val="21"/>
        </w:rPr>
        <w:t>fl</w:t>
      </w:r>
      <w:r w:rsidR="00977BCD" w:rsidRPr="003F3B3C">
        <w:rPr>
          <w:rFonts w:cs="URW Palladio L"/>
          <w:szCs w:val="21"/>
        </w:rPr>
        <w:t xml:space="preserve">ow nodes in the UCRB, (2) We include the disaggregation method of </w:t>
      </w:r>
      <w:r w:rsidR="00977BCD" w:rsidRPr="003F3B3C">
        <w:rPr>
          <w:rFonts w:cs="URW Palladio L"/>
          <w:i/>
          <w:iCs/>
          <w:szCs w:val="21"/>
        </w:rPr>
        <w:t xml:space="preserve">Nowak et al. </w:t>
      </w:r>
      <w:r w:rsidR="00977BCD" w:rsidRPr="003F3B3C">
        <w:rPr>
          <w:rFonts w:cs="URW Palladio L"/>
          <w:szCs w:val="21"/>
        </w:rPr>
        <w:t xml:space="preserve">(2010) instead of the disaggregation method of </w:t>
      </w:r>
      <w:r w:rsidR="00977BCD" w:rsidRPr="003F3B3C">
        <w:rPr>
          <w:rFonts w:cs="URW Palladio L"/>
          <w:i/>
          <w:iCs/>
          <w:szCs w:val="21"/>
        </w:rPr>
        <w:t xml:space="preserve">Prairie et al. </w:t>
      </w:r>
      <w:r w:rsidR="00977BCD" w:rsidRPr="003F3B3C">
        <w:rPr>
          <w:rFonts w:cs="URW Palladio L"/>
          <w:szCs w:val="21"/>
        </w:rPr>
        <w:t xml:space="preserve">(2007), </w:t>
      </w:r>
      <w:r w:rsidR="00977BCD">
        <w:rPr>
          <w:rFonts w:cs="URW Palladio L"/>
          <w:szCs w:val="21"/>
        </w:rPr>
        <w:t>(3</w:t>
      </w:r>
      <w:r w:rsidR="00977BCD" w:rsidRPr="003F3B3C">
        <w:rPr>
          <w:rFonts w:cs="URW Palladio L"/>
          <w:szCs w:val="21"/>
        </w:rPr>
        <w:t xml:space="preserve">) we make forecasts in total </w:t>
      </w:r>
      <w:r w:rsidR="00977BCD">
        <w:rPr>
          <w:rFonts w:cs="URW Palladio L"/>
          <w:szCs w:val="21"/>
        </w:rPr>
        <w:t>fl</w:t>
      </w:r>
      <w:r w:rsidR="00977BCD" w:rsidRPr="003F3B3C">
        <w:rPr>
          <w:rFonts w:cs="URW Palladio L"/>
          <w:szCs w:val="21"/>
        </w:rPr>
        <w:t xml:space="preserve">ow space but then </w:t>
      </w:r>
      <w:r w:rsidR="00977BCD">
        <w:rPr>
          <w:rFonts w:cs="URW Palladio L"/>
          <w:szCs w:val="21"/>
        </w:rPr>
        <w:t>convert to intervening for the fi</w:t>
      </w:r>
      <w:r w:rsidR="00977BCD" w:rsidRPr="003F3B3C">
        <w:rPr>
          <w:rFonts w:cs="URW Palladio L"/>
          <w:szCs w:val="21"/>
        </w:rPr>
        <w:t xml:space="preserve">nal result. </w:t>
      </w:r>
    </w:p>
    <w:p w:rsidR="00836925" w:rsidRDefault="00E34A2F" w:rsidP="00D733AE">
      <w:pPr>
        <w:spacing w:after="120" w:line="480" w:lineRule="auto"/>
        <w:jc w:val="both"/>
        <w:rPr>
          <w:rFonts w:cs="URW Palladio L"/>
          <w:szCs w:val="21"/>
        </w:rPr>
      </w:pPr>
      <w:r w:rsidRPr="003F3B3C">
        <w:rPr>
          <w:rFonts w:cs="URW Palladio L"/>
          <w:szCs w:val="21"/>
        </w:rPr>
        <w:t xml:space="preserve">This disaggregation method of </w:t>
      </w:r>
      <w:r w:rsidRPr="003F3B3C">
        <w:rPr>
          <w:rFonts w:cs="URW Palladio L"/>
          <w:i/>
          <w:iCs/>
          <w:szCs w:val="21"/>
        </w:rPr>
        <w:t xml:space="preserve">Nowak et al. </w:t>
      </w:r>
      <w:r w:rsidRPr="003F3B3C">
        <w:rPr>
          <w:rFonts w:cs="URW Palladio L"/>
          <w:szCs w:val="21"/>
        </w:rPr>
        <w:t>(2010) is known as ‘proportion disaggregation‘ is</w:t>
      </w:r>
      <w:r w:rsidR="00DE16DC">
        <w:rPr>
          <w:rFonts w:cs="URW Palladio L"/>
          <w:szCs w:val="21"/>
        </w:rPr>
        <w:t xml:space="preserve"> a </w:t>
      </w:r>
      <w:r w:rsidR="00977BCD">
        <w:rPr>
          <w:rFonts w:cs="URW Palladio L"/>
          <w:szCs w:val="21"/>
        </w:rPr>
        <w:t>fl</w:t>
      </w:r>
      <w:r w:rsidR="00DE16DC">
        <w:rPr>
          <w:rFonts w:cs="URW Palladio L"/>
          <w:szCs w:val="21"/>
        </w:rPr>
        <w:t>exible nonparametric that</w:t>
      </w:r>
      <w:r w:rsidRPr="003F3B3C">
        <w:rPr>
          <w:rFonts w:cs="URW Palladio L"/>
          <w:szCs w:val="21"/>
        </w:rPr>
        <w:t xml:space="preserve"> preserves the sumability criteria of the network</w:t>
      </w:r>
      <w:r w:rsidR="00DE16DC">
        <w:rPr>
          <w:rFonts w:cs="URW Palladio L"/>
          <w:szCs w:val="21"/>
        </w:rPr>
        <w:t xml:space="preserve"> (upstream gauges sum to downstream gauges)</w:t>
      </w:r>
      <w:r w:rsidRPr="003F3B3C">
        <w:rPr>
          <w:rFonts w:cs="URW Palladio L"/>
          <w:szCs w:val="21"/>
        </w:rPr>
        <w:t>. The method is able to simultaneously conduct space and time disaggregation</w:t>
      </w:r>
      <w:r w:rsidR="00FD754A">
        <w:rPr>
          <w:rFonts w:cs="URW Palladio L"/>
          <w:szCs w:val="21"/>
        </w:rPr>
        <w:t xml:space="preserve"> through the use of proportion matricies (matricies </w:t>
      </w:r>
      <w:r w:rsidR="00977BCD">
        <w:rPr>
          <w:rFonts w:cs="URW Palladio L"/>
          <w:szCs w:val="21"/>
        </w:rPr>
        <w:t>whose</w:t>
      </w:r>
      <w:r w:rsidR="00FD754A">
        <w:rPr>
          <w:rFonts w:cs="URW Palladio L"/>
          <w:szCs w:val="21"/>
        </w:rPr>
        <w:t xml:space="preserve"> contents sum to unity)</w:t>
      </w:r>
      <w:r w:rsidRPr="003F3B3C">
        <w:rPr>
          <w:rFonts w:cs="URW Palladio L"/>
          <w:szCs w:val="21"/>
        </w:rPr>
        <w:t>.</w:t>
      </w:r>
      <w:r w:rsidR="00FD754A" w:rsidRPr="00836925">
        <w:rPr>
          <w:rFonts w:cs="URW Palladio L"/>
          <w:szCs w:val="21"/>
        </w:rPr>
        <w:t xml:space="preserve"> </w:t>
      </w:r>
      <w:r w:rsidR="00836925" w:rsidRPr="00836925">
        <w:rPr>
          <w:rFonts w:cs="URW Palladio L"/>
          <w:szCs w:val="21"/>
        </w:rPr>
        <w:fldChar w:fldCharType="begin"/>
      </w:r>
      <w:r w:rsidR="00836925" w:rsidRPr="00836925">
        <w:rPr>
          <w:rFonts w:cs="URW Palladio L"/>
          <w:szCs w:val="21"/>
        </w:rPr>
        <w:instrText xml:space="preserve"> REF _Ref156634591 \h </w:instrText>
      </w:r>
      <w:r w:rsidR="00886374" w:rsidRPr="00836925">
        <w:rPr>
          <w:rFonts w:cs="URW Palladio L"/>
          <w:szCs w:val="21"/>
        </w:rPr>
      </w:r>
      <w:r w:rsidR="00836925" w:rsidRPr="00836925">
        <w:rPr>
          <w:rFonts w:cs="URW Palladio L"/>
          <w:szCs w:val="21"/>
        </w:rPr>
        <w:fldChar w:fldCharType="separate"/>
      </w:r>
      <w:r w:rsidR="00836925" w:rsidRPr="00836925">
        <w:t xml:space="preserve">Figure </w:t>
      </w:r>
      <w:r w:rsidR="00836925" w:rsidRPr="00836925">
        <w:rPr>
          <w:noProof/>
        </w:rPr>
        <w:t>2</w:t>
      </w:r>
      <w:r w:rsidR="00836925" w:rsidRPr="00836925">
        <w:rPr>
          <w:rFonts w:cs="URW Palladio L"/>
          <w:szCs w:val="21"/>
        </w:rPr>
        <w:fldChar w:fldCharType="end"/>
      </w:r>
      <w:r w:rsidR="00836925" w:rsidRPr="00836925">
        <w:rPr>
          <w:rFonts w:cs="URW Palladio L"/>
          <w:szCs w:val="21"/>
        </w:rPr>
        <w:t xml:space="preserve"> shows</w:t>
      </w:r>
      <w:r w:rsidR="00836925">
        <w:rPr>
          <w:rFonts w:cs="URW Palladio L"/>
          <w:szCs w:val="21"/>
        </w:rPr>
        <w:t xml:space="preserve"> </w:t>
      </w:r>
      <w:r w:rsidR="00977BCD">
        <w:rPr>
          <w:rFonts w:cs="URW Palladio L"/>
          <w:szCs w:val="21"/>
        </w:rPr>
        <w:t>schematically</w:t>
      </w:r>
      <w:r w:rsidR="00836925">
        <w:rPr>
          <w:rFonts w:cs="URW Palladio L"/>
          <w:szCs w:val="21"/>
        </w:rPr>
        <w:t xml:space="preserve"> how the index gauge is split simultaneously to in space and time to all twenty sites. </w:t>
      </w:r>
      <w:r w:rsidR="00FD754A">
        <w:rPr>
          <w:rFonts w:cs="URW Palladio L"/>
          <w:szCs w:val="21"/>
        </w:rPr>
        <w:t xml:space="preserve">In space-time disaggregation there is one proportion matrix for each year in the historical record.  For a given seasonal flow value to be disaggregated, the method identifies K nearest </w:t>
      </w:r>
      <w:r w:rsidR="00977BCD">
        <w:rPr>
          <w:rFonts w:cs="URW Palladio L"/>
          <w:szCs w:val="21"/>
        </w:rPr>
        <w:t>neighbors</w:t>
      </w:r>
      <w:r w:rsidR="00FD754A">
        <w:rPr>
          <w:rFonts w:cs="URW Palladio L"/>
          <w:szCs w:val="21"/>
        </w:rPr>
        <w:t xml:space="preserve"> of the flow value and multiplies the proportion matrix by the flow value to disaggregate. The process is then repeated to generate ensembles for each value to be disaggregated. </w:t>
      </w:r>
      <w:r w:rsidR="00836925">
        <w:rPr>
          <w:rFonts w:cs="URW Palladio L"/>
          <w:szCs w:val="21"/>
        </w:rPr>
        <w:t>For more details</w:t>
      </w:r>
      <w:r w:rsidR="00977BCD">
        <w:rPr>
          <w:rFonts w:cs="URW Palladio L"/>
          <w:szCs w:val="21"/>
        </w:rPr>
        <w:t>, the</w:t>
      </w:r>
      <w:r w:rsidRPr="003F3B3C">
        <w:rPr>
          <w:rFonts w:cs="URW Palladio L"/>
          <w:szCs w:val="21"/>
        </w:rPr>
        <w:t xml:space="preserve"> interested reader is </w:t>
      </w:r>
      <w:r w:rsidR="00977BCD" w:rsidRPr="003F3B3C">
        <w:rPr>
          <w:rFonts w:cs="URW Palladio L"/>
          <w:szCs w:val="21"/>
        </w:rPr>
        <w:t>referred</w:t>
      </w:r>
      <w:r w:rsidRPr="003F3B3C">
        <w:rPr>
          <w:rFonts w:cs="URW Palladio L"/>
          <w:szCs w:val="21"/>
        </w:rPr>
        <w:t xml:space="preserve"> to </w:t>
      </w:r>
      <w:r w:rsidRPr="003F3B3C">
        <w:rPr>
          <w:rFonts w:cs="URW Palladio L"/>
          <w:i/>
          <w:iCs/>
          <w:szCs w:val="21"/>
        </w:rPr>
        <w:t xml:space="preserve">Nowak et al. </w:t>
      </w:r>
      <w:r w:rsidRPr="003F3B3C">
        <w:rPr>
          <w:rFonts w:cs="URW Palladio L"/>
          <w:szCs w:val="21"/>
        </w:rPr>
        <w:t>(2010).</w:t>
      </w:r>
    </w:p>
    <w:p w:rsidR="00836925" w:rsidRDefault="00836925" w:rsidP="00836925">
      <w:pPr>
        <w:keepNext/>
        <w:jc w:val="center"/>
      </w:pPr>
      <w:r>
        <w:rPr>
          <w:noProof/>
        </w:rPr>
        <w:drawing>
          <wp:inline distT="0" distB="0" distL="0" distR="0">
            <wp:extent cx="3048000" cy="4394200"/>
            <wp:effectExtent l="0" t="0" r="0" b="0"/>
            <wp:docPr id="33" name="Picture 33" descr="::figures:disa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s:disag.pdf"/>
                    <pic:cNvPicPr>
                      <a:picLocks noChangeAspect="1" noChangeArrowheads="1"/>
                    </pic:cNvPicPr>
                  </pic:nvPicPr>
                  <ve:AlternateContent>
                    <ve:Choice xmlns:ma="http://schemas.microsoft.com/office/mac/drawingml/2008/main" Requires="ma">
                      <pic:blipFill>
                        <a:blip r:embed="rId25"/>
                        <a:srcRect/>
                        <a:stretch>
                          <a:fillRect/>
                        </a:stretch>
                      </pic:blipFill>
                    </ve:Choice>
                    <ve:Fallback>
                      <pic:blipFill>
                        <a:blip r:embed="rId26"/>
                        <a:srcRect/>
                        <a:stretch>
                          <a:fillRect/>
                        </a:stretch>
                      </pic:blipFill>
                    </ve:Fallback>
                  </ve:AlternateContent>
                  <pic:spPr bwMode="auto">
                    <a:xfrm>
                      <a:off x="0" y="0"/>
                      <a:ext cx="3048000" cy="4394200"/>
                    </a:xfrm>
                    <a:prstGeom prst="rect">
                      <a:avLst/>
                    </a:prstGeom>
                    <a:noFill/>
                    <a:ln w="9525">
                      <a:noFill/>
                      <a:miter lim="800000"/>
                      <a:headEnd/>
                      <a:tailEnd/>
                    </a:ln>
                  </pic:spPr>
                </pic:pic>
              </a:graphicData>
            </a:graphic>
          </wp:inline>
        </w:drawing>
      </w:r>
    </w:p>
    <w:p w:rsidR="00836925" w:rsidRDefault="00836925" w:rsidP="00836925">
      <w:pPr>
        <w:pStyle w:val="Caption"/>
        <w:jc w:val="center"/>
      </w:pPr>
      <w:bookmarkStart w:id="0" w:name="_Ref156634591"/>
      <w:r w:rsidRPr="00836925">
        <w:t xml:space="preserve">Figure </w:t>
      </w:r>
      <w:fldSimple w:instr=" SEQ Figure \* ARABIC ">
        <w:r w:rsidR="00890E6B">
          <w:rPr>
            <w:noProof/>
          </w:rPr>
          <w:t>2</w:t>
        </w:r>
      </w:fldSimple>
      <w:bookmarkEnd w:id="0"/>
      <w:r>
        <w:t xml:space="preserve">: Schematic of disaggregation process using proportion </w:t>
      </w:r>
      <w:r w:rsidR="00977BCD">
        <w:t>disaggregation</w:t>
      </w:r>
    </w:p>
    <w:p w:rsidR="00E34A2F" w:rsidRPr="00836925" w:rsidRDefault="00E34A2F" w:rsidP="00836925"/>
    <w:p w:rsidR="00E34A2F" w:rsidRPr="003F3B3C" w:rsidRDefault="00175E01" w:rsidP="00D733AE">
      <w:pPr>
        <w:spacing w:after="120" w:line="480" w:lineRule="auto"/>
        <w:jc w:val="both"/>
        <w:rPr>
          <w:rFonts w:cs="URW Palladio L"/>
          <w:szCs w:val="21"/>
        </w:rPr>
      </w:pPr>
      <w:r>
        <w:rPr>
          <w:rFonts w:cs="URW Palladio L"/>
          <w:szCs w:val="21"/>
        </w:rPr>
        <w:t>Concerning the third</w:t>
      </w:r>
      <w:r w:rsidR="00E34A2F" w:rsidRPr="003F3B3C">
        <w:rPr>
          <w:rFonts w:cs="URW Palladio L"/>
          <w:szCs w:val="21"/>
        </w:rPr>
        <w:t xml:space="preserve"> change, </w:t>
      </w:r>
      <w:r w:rsidR="00E34A2F" w:rsidRPr="003F3B3C">
        <w:rPr>
          <w:rFonts w:cs="URW Palladio L"/>
          <w:i/>
          <w:iCs/>
          <w:szCs w:val="21"/>
        </w:rPr>
        <w:t xml:space="preserve">Nowak et al. </w:t>
      </w:r>
      <w:r w:rsidR="00E34A2F" w:rsidRPr="003F3B3C">
        <w:rPr>
          <w:rFonts w:cs="URW Palladio L"/>
          <w:szCs w:val="21"/>
        </w:rPr>
        <w:t xml:space="preserve">(2010) suggest performing </w:t>
      </w:r>
      <w:r w:rsidR="00977BCD" w:rsidRPr="003F3B3C">
        <w:rPr>
          <w:rFonts w:cs="URW Palladio L"/>
          <w:szCs w:val="21"/>
        </w:rPr>
        <w:t>disaggregation</w:t>
      </w:r>
      <w:r w:rsidR="00E34A2F" w:rsidRPr="003F3B3C">
        <w:rPr>
          <w:rFonts w:cs="URW Palladio L"/>
          <w:szCs w:val="21"/>
        </w:rPr>
        <w:t xml:space="preserve"> of total </w:t>
      </w:r>
      <w:r w:rsidR="00977BCD">
        <w:rPr>
          <w:rFonts w:cs="URW Palladio L"/>
          <w:szCs w:val="21"/>
        </w:rPr>
        <w:t>fl</w:t>
      </w:r>
      <w:r w:rsidR="00E34A2F" w:rsidRPr="003F3B3C">
        <w:rPr>
          <w:rFonts w:cs="URW Palladio L"/>
          <w:szCs w:val="21"/>
        </w:rPr>
        <w:t xml:space="preserve">ow as opposed to intervening </w:t>
      </w:r>
      <w:r w:rsidR="00977BCD">
        <w:rPr>
          <w:rFonts w:cs="URW Palladio L"/>
          <w:szCs w:val="21"/>
        </w:rPr>
        <w:t>fl</w:t>
      </w:r>
      <w:r w:rsidR="00E34A2F" w:rsidRPr="003F3B3C">
        <w:rPr>
          <w:rFonts w:cs="URW Palladio L"/>
          <w:szCs w:val="21"/>
        </w:rPr>
        <w:t>ow. This eliminates incorrect weighting of negative</w:t>
      </w:r>
      <w:r w:rsidR="00FA038B">
        <w:rPr>
          <w:rFonts w:cs="URW Palladio L"/>
          <w:szCs w:val="21"/>
        </w:rPr>
        <w:t xml:space="preserve"> intervening</w:t>
      </w:r>
      <w:r w:rsidR="00E34A2F" w:rsidRPr="003F3B3C">
        <w:rPr>
          <w:rFonts w:cs="URW Palladio L"/>
          <w:szCs w:val="21"/>
        </w:rPr>
        <w:t xml:space="preserve"> values</w:t>
      </w:r>
      <w:r w:rsidR="00FA038B">
        <w:rPr>
          <w:rFonts w:cs="URW Palladio L"/>
          <w:szCs w:val="21"/>
        </w:rPr>
        <w:t xml:space="preserve"> (losing reaches)</w:t>
      </w:r>
      <w:r w:rsidR="00E34A2F" w:rsidRPr="003F3B3C">
        <w:rPr>
          <w:rFonts w:cs="URW Palladio L"/>
          <w:szCs w:val="21"/>
        </w:rPr>
        <w:t>. Stream</w:t>
      </w:r>
      <w:r w:rsidR="00977BCD">
        <w:rPr>
          <w:rFonts w:cs="URW Palladio L"/>
          <w:szCs w:val="21"/>
        </w:rPr>
        <w:t>fl</w:t>
      </w:r>
      <w:r w:rsidR="00E34A2F" w:rsidRPr="003F3B3C">
        <w:rPr>
          <w:rFonts w:cs="URW Palladio L"/>
          <w:szCs w:val="21"/>
        </w:rPr>
        <w:t xml:space="preserve">ow forecasts as </w:t>
      </w:r>
      <w:r w:rsidR="00977BCD" w:rsidRPr="003F3B3C">
        <w:rPr>
          <w:rFonts w:cs="URW Palladio L"/>
          <w:szCs w:val="21"/>
        </w:rPr>
        <w:t>intervening</w:t>
      </w:r>
      <w:r w:rsidR="00E34A2F" w:rsidRPr="003F3B3C">
        <w:rPr>
          <w:rFonts w:cs="URW Palladio L"/>
          <w:szCs w:val="21"/>
        </w:rPr>
        <w:t xml:space="preserve"> </w:t>
      </w:r>
      <w:r w:rsidR="00977BCD">
        <w:rPr>
          <w:rFonts w:cs="URW Palladio L"/>
          <w:szCs w:val="21"/>
        </w:rPr>
        <w:t>fl</w:t>
      </w:r>
      <w:r w:rsidR="00E34A2F" w:rsidRPr="003F3B3C">
        <w:rPr>
          <w:rFonts w:cs="URW Palladio L"/>
          <w:szCs w:val="21"/>
        </w:rPr>
        <w:t xml:space="preserve">ow are also more useful as input to other models (such as planning models) so we perform disaggregation on the total </w:t>
      </w:r>
      <w:r w:rsidR="00977BCD">
        <w:rPr>
          <w:rFonts w:cs="URW Palladio L"/>
          <w:szCs w:val="21"/>
        </w:rPr>
        <w:t>fl</w:t>
      </w:r>
      <w:r w:rsidR="00E34A2F" w:rsidRPr="003F3B3C">
        <w:rPr>
          <w:rFonts w:cs="URW Palladio L"/>
          <w:szCs w:val="21"/>
        </w:rPr>
        <w:t xml:space="preserve">ow then transform back for the </w:t>
      </w:r>
      <w:r w:rsidR="00977BCD">
        <w:rPr>
          <w:rFonts w:cs="URW Palladio L"/>
          <w:szCs w:val="21"/>
        </w:rPr>
        <w:t>fi</w:t>
      </w:r>
      <w:r w:rsidR="00E34A2F" w:rsidRPr="003F3B3C">
        <w:rPr>
          <w:rFonts w:cs="URW Palladio L"/>
          <w:szCs w:val="21"/>
        </w:rPr>
        <w:t xml:space="preserve">nal results. The transformation is done by exploiting the network </w:t>
      </w:r>
      <w:r w:rsidR="00886374" w:rsidRPr="003F3B3C">
        <w:rPr>
          <w:rFonts w:cs="URW Palladio L"/>
          <w:szCs w:val="21"/>
        </w:rPr>
        <w:t>structure</w:t>
      </w:r>
      <w:r w:rsidR="00E34A2F" w:rsidRPr="003F3B3C">
        <w:rPr>
          <w:rFonts w:cs="URW Palladio L"/>
          <w:szCs w:val="21"/>
        </w:rPr>
        <w:t xml:space="preserve"> of the 20 sites. </w:t>
      </w:r>
      <w:r w:rsidR="00B6571D">
        <w:rPr>
          <w:rFonts w:cs="URW Palladio L"/>
          <w:szCs w:val="21"/>
        </w:rPr>
        <w:t xml:space="preserve">Total flow is computed by </w:t>
      </w:r>
      <w:r w:rsidR="00886374">
        <w:rPr>
          <w:rFonts w:cs="URW Palladio L"/>
          <w:szCs w:val="21"/>
        </w:rPr>
        <w:t>summing</w:t>
      </w:r>
      <w:r w:rsidR="00B6571D">
        <w:rPr>
          <w:rFonts w:cs="URW Palladio L"/>
          <w:szCs w:val="21"/>
        </w:rPr>
        <w:t xml:space="preserve"> all the upstream </w:t>
      </w:r>
      <w:r w:rsidR="00886374">
        <w:rPr>
          <w:rFonts w:cs="URW Palladio L"/>
          <w:szCs w:val="21"/>
        </w:rPr>
        <w:t>intervening</w:t>
      </w:r>
      <w:r w:rsidR="00B6571D">
        <w:rPr>
          <w:rFonts w:cs="URW Palladio L"/>
          <w:szCs w:val="21"/>
        </w:rPr>
        <w:t xml:space="preserve"> flow at a given site.  Intervening flow is computed by subtracting the total flow at the next upstream gauge from a given site. </w:t>
      </w:r>
    </w:p>
    <w:p w:rsidR="00FA038B" w:rsidRDefault="00FD754A" w:rsidP="00D733AE">
      <w:pPr>
        <w:spacing w:after="120" w:line="480" w:lineRule="auto"/>
        <w:jc w:val="both"/>
        <w:rPr>
          <w:rFonts w:cs="URW Palladio L"/>
          <w:szCs w:val="21"/>
        </w:rPr>
      </w:pPr>
      <w:r>
        <w:rPr>
          <w:rFonts w:cs="URW Palladio L"/>
          <w:szCs w:val="21"/>
        </w:rPr>
        <w:t>We now describe the</w:t>
      </w:r>
      <w:r w:rsidR="00D56F82">
        <w:rPr>
          <w:rFonts w:cs="URW Palladio L"/>
          <w:szCs w:val="21"/>
        </w:rPr>
        <w:t xml:space="preserve"> framework in its entirety</w:t>
      </w:r>
      <w:r>
        <w:rPr>
          <w:rFonts w:cs="URW Palladio L"/>
          <w:szCs w:val="21"/>
        </w:rPr>
        <w:t>, for details of specific components</w:t>
      </w:r>
    </w:p>
    <w:p w:rsidR="00FA038B" w:rsidRDefault="00E34A2F" w:rsidP="00FA038B">
      <w:pPr>
        <w:numPr>
          <w:ilvl w:val="0"/>
          <w:numId w:val="1"/>
        </w:numPr>
        <w:spacing w:after="120" w:line="480" w:lineRule="auto"/>
        <w:jc w:val="both"/>
        <w:rPr>
          <w:rFonts w:cs="URW Palladio L"/>
          <w:szCs w:val="21"/>
        </w:rPr>
      </w:pPr>
      <w:r w:rsidRPr="003F3B3C">
        <w:rPr>
          <w:rFonts w:cs="URW Palladio L"/>
          <w:szCs w:val="21"/>
        </w:rPr>
        <w:t xml:space="preserve">Create a total </w:t>
      </w:r>
      <w:r w:rsidR="00977BCD">
        <w:rPr>
          <w:rFonts w:cs="URW Palladio L"/>
          <w:szCs w:val="21"/>
        </w:rPr>
        <w:t>fl</w:t>
      </w:r>
      <w:r w:rsidRPr="003F3B3C">
        <w:rPr>
          <w:rFonts w:cs="URW Palladio L"/>
          <w:szCs w:val="21"/>
        </w:rPr>
        <w:t>ow index gauge by summing all the total</w:t>
      </w:r>
      <w:r w:rsidR="00D56F82">
        <w:rPr>
          <w:rFonts w:cs="URW Palladio L"/>
          <w:szCs w:val="21"/>
        </w:rPr>
        <w:t xml:space="preserve"> seasonal </w:t>
      </w:r>
      <w:r w:rsidR="00977BCD">
        <w:rPr>
          <w:rFonts w:cs="URW Palladio L"/>
          <w:szCs w:val="21"/>
        </w:rPr>
        <w:t>fl</w:t>
      </w:r>
      <w:r w:rsidR="00D56F82">
        <w:rPr>
          <w:rFonts w:cs="URW Palladio L"/>
          <w:szCs w:val="21"/>
        </w:rPr>
        <w:t>ow at each site to create an index gauge</w:t>
      </w:r>
      <w:r w:rsidR="00FD754A">
        <w:rPr>
          <w:rFonts w:cs="URW Palladio L"/>
          <w:szCs w:val="21"/>
        </w:rPr>
        <w:t xml:space="preserve"> (</w:t>
      </w:r>
      <w:r w:rsidR="00FD754A" w:rsidRPr="00FD754A">
        <w:rPr>
          <w:rFonts w:cs="URW Palladio L"/>
          <w:i/>
          <w:szCs w:val="21"/>
        </w:rPr>
        <w:t>Bracken et al., 2010</w:t>
      </w:r>
      <w:r w:rsidR="00FD754A">
        <w:rPr>
          <w:rFonts w:cs="URW Palladio L"/>
          <w:szCs w:val="21"/>
        </w:rPr>
        <w:t>)</w:t>
      </w:r>
      <w:r w:rsidR="00D56F82">
        <w:rPr>
          <w:rFonts w:cs="URW Palladio L"/>
          <w:szCs w:val="21"/>
        </w:rPr>
        <w:t xml:space="preserve">. </w:t>
      </w:r>
    </w:p>
    <w:p w:rsidR="00D64D9E" w:rsidRDefault="00B6571D" w:rsidP="00FA038B">
      <w:pPr>
        <w:numPr>
          <w:ilvl w:val="0"/>
          <w:numId w:val="1"/>
        </w:numPr>
        <w:spacing w:after="120" w:line="480" w:lineRule="auto"/>
        <w:jc w:val="both"/>
        <w:rPr>
          <w:rFonts w:cs="URW Palladio L"/>
          <w:szCs w:val="21"/>
        </w:rPr>
      </w:pPr>
      <w:r>
        <w:rPr>
          <w:rFonts w:cs="URW Palladio L"/>
          <w:szCs w:val="21"/>
        </w:rPr>
        <w:t>I</w:t>
      </w:r>
      <w:r w:rsidR="00E34A2F" w:rsidRPr="003F3B3C">
        <w:rPr>
          <w:rFonts w:cs="URW Palladio L"/>
          <w:szCs w:val="21"/>
        </w:rPr>
        <w:t>dentify large scale</w:t>
      </w:r>
      <w:r w:rsidR="00D64D9E">
        <w:rPr>
          <w:rFonts w:cs="URW Palladio L"/>
          <w:szCs w:val="21"/>
        </w:rPr>
        <w:t xml:space="preserve"> climate</w:t>
      </w:r>
      <w:r w:rsidR="00E34A2F" w:rsidRPr="003F3B3C">
        <w:rPr>
          <w:rFonts w:cs="URW Palladio L"/>
          <w:szCs w:val="21"/>
        </w:rPr>
        <w:t xml:space="preserve"> predi</w:t>
      </w:r>
      <w:r w:rsidR="00D64D9E">
        <w:rPr>
          <w:rFonts w:cs="URW Palladio L"/>
          <w:szCs w:val="21"/>
        </w:rPr>
        <w:t xml:space="preserve">ctors of index gauge total </w:t>
      </w:r>
      <w:r w:rsidR="00977BCD">
        <w:rPr>
          <w:rFonts w:cs="URW Palladio L"/>
          <w:szCs w:val="21"/>
        </w:rPr>
        <w:t>fl</w:t>
      </w:r>
      <w:r w:rsidR="00D64D9E">
        <w:rPr>
          <w:rFonts w:cs="URW Palladio L"/>
          <w:szCs w:val="21"/>
        </w:rPr>
        <w:t>ow</w:t>
      </w:r>
      <w:r w:rsidR="00FD754A">
        <w:rPr>
          <w:rFonts w:cs="URW Palladio L"/>
          <w:szCs w:val="21"/>
        </w:rPr>
        <w:t xml:space="preserve"> (</w:t>
      </w:r>
      <w:r w:rsidR="00FD754A" w:rsidRPr="00FD754A">
        <w:rPr>
          <w:rFonts w:cs="URW Palladio L"/>
          <w:i/>
          <w:szCs w:val="21"/>
        </w:rPr>
        <w:t>Grantz et al., 2005</w:t>
      </w:r>
      <w:r w:rsidR="00FD754A">
        <w:rPr>
          <w:rFonts w:cs="URW Palladio L"/>
          <w:szCs w:val="21"/>
        </w:rPr>
        <w:t>)</w:t>
      </w:r>
      <w:r w:rsidR="00D56F82">
        <w:rPr>
          <w:rFonts w:cs="URW Palladio L"/>
          <w:szCs w:val="21"/>
        </w:rPr>
        <w:t>.</w:t>
      </w:r>
    </w:p>
    <w:p w:rsidR="00D64D9E" w:rsidRDefault="00D64D9E" w:rsidP="00FA038B">
      <w:pPr>
        <w:numPr>
          <w:ilvl w:val="0"/>
          <w:numId w:val="1"/>
        </w:numPr>
        <w:spacing w:after="120" w:line="480" w:lineRule="auto"/>
        <w:jc w:val="both"/>
        <w:rPr>
          <w:rFonts w:cs="URW Palladio L"/>
          <w:szCs w:val="21"/>
        </w:rPr>
      </w:pPr>
      <w:r>
        <w:rPr>
          <w:rFonts w:cs="URW Palladio L"/>
          <w:szCs w:val="21"/>
        </w:rPr>
        <w:t>I</w:t>
      </w:r>
      <w:r w:rsidR="00EA28DB">
        <w:rPr>
          <w:rFonts w:cs="URW Palladio L"/>
          <w:szCs w:val="21"/>
        </w:rPr>
        <w:t xml:space="preserve">dentify a set of the </w:t>
      </w:r>
      <w:r w:rsidR="00E34A2F" w:rsidRPr="003F3B3C">
        <w:rPr>
          <w:rFonts w:cs="URW Palladio L"/>
          <w:szCs w:val="21"/>
        </w:rPr>
        <w:t>best locally weighted polynomial models</w:t>
      </w:r>
      <w:r w:rsidR="00EA28DB">
        <w:rPr>
          <w:rFonts w:cs="URW Palladio L"/>
          <w:szCs w:val="21"/>
        </w:rPr>
        <w:t xml:space="preserve"> (</w:t>
      </w:r>
      <w:r w:rsidR="00EA28DB" w:rsidRPr="003F3B3C">
        <w:rPr>
          <w:rFonts w:cs="URW Palladio L"/>
          <w:i/>
          <w:iCs/>
          <w:szCs w:val="21"/>
        </w:rPr>
        <w:t>Loader</w:t>
      </w:r>
      <w:r w:rsidR="00EA28DB">
        <w:rPr>
          <w:rFonts w:cs="URW Palladio L"/>
          <w:i/>
          <w:iCs/>
          <w:szCs w:val="21"/>
        </w:rPr>
        <w:t xml:space="preserve">, </w:t>
      </w:r>
      <w:r w:rsidR="00EA28DB">
        <w:rPr>
          <w:rFonts w:cs="URW Palladio L"/>
          <w:szCs w:val="21"/>
        </w:rPr>
        <w:t xml:space="preserve">1999) for </w:t>
      </w:r>
      <w:r w:rsidR="00EA28DB" w:rsidRPr="00EA28DB">
        <w:rPr>
          <w:rFonts w:cs="URW Palladio L"/>
          <w:position w:val="-8"/>
          <w:szCs w:val="21"/>
        </w:rPr>
        <w:object w:dxaOrig="220" w:dyaOrig="280">
          <v:shape id="_x0000_i1056" type="#_x0000_t75" style="width:11pt;height:14pt" o:ole="">
            <v:imagedata r:id="rId27" r:pict="rId28" o:title=""/>
          </v:shape>
          <o:OLEObject Type="Embed" ProgID="Equation.3" ShapeID="_x0000_i1056" DrawAspect="Content" ObjectID="_1230384746"/>
        </w:object>
      </w:r>
      <w:r w:rsidR="00E34A2F" w:rsidRPr="003F3B3C">
        <w:rPr>
          <w:rFonts w:cs="URW Palladio L"/>
          <w:szCs w:val="21"/>
        </w:rPr>
        <w:t xml:space="preserve"> for each lead time</w:t>
      </w:r>
      <w:r w:rsidR="00EA28DB">
        <w:rPr>
          <w:rFonts w:cs="URW Palladio L"/>
          <w:szCs w:val="21"/>
        </w:rPr>
        <w:t>.  The best models are defined</w:t>
      </w:r>
      <w:r w:rsidR="00D56F82">
        <w:rPr>
          <w:rFonts w:cs="URW Palladio L"/>
          <w:szCs w:val="21"/>
        </w:rPr>
        <w:t xml:space="preserve"> </w:t>
      </w:r>
      <w:r w:rsidR="00E34A2F" w:rsidRPr="003F3B3C">
        <w:rPr>
          <w:rFonts w:cs="URW Palladio L"/>
          <w:szCs w:val="21"/>
        </w:rPr>
        <w:t xml:space="preserve">as </w:t>
      </w:r>
      <w:r w:rsidR="00886374" w:rsidRPr="003F3B3C">
        <w:rPr>
          <w:rFonts w:cs="URW Palladio L"/>
          <w:szCs w:val="21"/>
        </w:rPr>
        <w:t>those that</w:t>
      </w:r>
      <w:r w:rsidR="00E34A2F" w:rsidRPr="003F3B3C">
        <w:rPr>
          <w:rFonts w:cs="URW Palladio L"/>
          <w:szCs w:val="21"/>
        </w:rPr>
        <w:t xml:space="preserve"> minimize the gen</w:t>
      </w:r>
      <w:r w:rsidR="00E34A2F" w:rsidRPr="003F3B3C">
        <w:rPr>
          <w:rFonts w:cs="URW Palladio L"/>
          <w:szCs w:val="21"/>
        </w:rPr>
        <w:softHyphen/>
        <w:t>eralized cross validation value (GCV) (</w:t>
      </w:r>
      <w:r w:rsidR="00E34A2F" w:rsidRPr="003F3B3C">
        <w:rPr>
          <w:rFonts w:cs="URW Palladio L"/>
          <w:i/>
          <w:iCs/>
          <w:szCs w:val="21"/>
        </w:rPr>
        <w:t>Craven and Wahba</w:t>
      </w:r>
      <w:r>
        <w:rPr>
          <w:rFonts w:cs="URW Palladio L"/>
          <w:szCs w:val="21"/>
        </w:rPr>
        <w:t>, 1979)</w:t>
      </w:r>
      <w:r w:rsidR="00FD754A">
        <w:rPr>
          <w:rFonts w:cs="URW Palladio L"/>
          <w:szCs w:val="21"/>
        </w:rPr>
        <w:t xml:space="preserve"> and do not exhibit multicolinearity </w:t>
      </w:r>
      <w:r w:rsidR="00FD754A" w:rsidRPr="003F3B3C">
        <w:rPr>
          <w:rFonts w:cs="URW Palladio L"/>
          <w:szCs w:val="21"/>
        </w:rPr>
        <w:t>(</w:t>
      </w:r>
      <w:r w:rsidR="00FD754A" w:rsidRPr="003F3B3C">
        <w:rPr>
          <w:rFonts w:cs="URW Palladio L"/>
          <w:i/>
          <w:iCs/>
          <w:szCs w:val="21"/>
        </w:rPr>
        <w:t>Regonda et al.</w:t>
      </w:r>
      <w:r w:rsidR="00FD754A" w:rsidRPr="003F3B3C">
        <w:rPr>
          <w:rFonts w:cs="URW Palladio L"/>
          <w:szCs w:val="21"/>
        </w:rPr>
        <w:t>, 2006)</w:t>
      </w:r>
      <w:r>
        <w:rPr>
          <w:rFonts w:cs="URW Palladio L"/>
          <w:szCs w:val="21"/>
        </w:rPr>
        <w:t>.</w:t>
      </w:r>
    </w:p>
    <w:p w:rsidR="00FD754A" w:rsidRPr="00515990" w:rsidRDefault="00E34A2F" w:rsidP="00FA038B">
      <w:pPr>
        <w:numPr>
          <w:ilvl w:val="0"/>
          <w:numId w:val="1"/>
        </w:numPr>
        <w:spacing w:after="120" w:line="480" w:lineRule="auto"/>
        <w:jc w:val="both"/>
        <w:rPr>
          <w:rFonts w:cs="URW Palladio L"/>
          <w:szCs w:val="21"/>
        </w:rPr>
      </w:pPr>
      <w:r w:rsidRPr="003F3B3C">
        <w:rPr>
          <w:rFonts w:cs="URW Palladio L"/>
          <w:szCs w:val="21"/>
        </w:rPr>
        <w:t xml:space="preserve">Generate ensemble forecasts </w:t>
      </w:r>
      <w:r w:rsidR="00D64D9E">
        <w:rPr>
          <w:rFonts w:cs="URW Palladio L"/>
          <w:szCs w:val="21"/>
        </w:rPr>
        <w:t>(</w:t>
      </w:r>
      <w:r w:rsidR="00FD754A" w:rsidRPr="003F3B3C">
        <w:rPr>
          <w:rFonts w:cs="URW Palladio L"/>
          <w:i/>
          <w:iCs/>
          <w:szCs w:val="21"/>
        </w:rPr>
        <w:t>Hagedorn et al.</w:t>
      </w:r>
      <w:r w:rsidR="00FD754A" w:rsidRPr="003F3B3C">
        <w:rPr>
          <w:rFonts w:cs="URW Palladio L"/>
          <w:szCs w:val="21"/>
        </w:rPr>
        <w:t xml:space="preserve">, 2005; </w:t>
      </w:r>
      <w:r w:rsidR="00FD754A" w:rsidRPr="003F3B3C">
        <w:rPr>
          <w:rFonts w:cs="URW Palladio L"/>
          <w:i/>
          <w:iCs/>
          <w:szCs w:val="21"/>
        </w:rPr>
        <w:t>Krishnamurti et al.</w:t>
      </w:r>
      <w:r w:rsidR="00FD754A" w:rsidRPr="003F3B3C">
        <w:rPr>
          <w:rFonts w:cs="URW Palladio L"/>
          <w:szCs w:val="21"/>
        </w:rPr>
        <w:t xml:space="preserve">, 2000; </w:t>
      </w:r>
      <w:r w:rsidR="00FD754A" w:rsidRPr="003F3B3C">
        <w:rPr>
          <w:rFonts w:cs="URW Palladio L"/>
          <w:i/>
          <w:iCs/>
          <w:szCs w:val="21"/>
        </w:rPr>
        <w:t>Rajagopalan et al.</w:t>
      </w:r>
      <w:r w:rsidR="00FD754A" w:rsidRPr="003F3B3C">
        <w:rPr>
          <w:rFonts w:cs="URW Palladio L"/>
          <w:szCs w:val="21"/>
        </w:rPr>
        <w:t xml:space="preserve">, </w:t>
      </w:r>
      <w:r w:rsidR="00FD754A" w:rsidRPr="00515990">
        <w:rPr>
          <w:rFonts w:cs="URW Palladio L"/>
          <w:szCs w:val="21"/>
        </w:rPr>
        <w:t xml:space="preserve">2002; </w:t>
      </w:r>
      <w:r w:rsidRPr="00515990">
        <w:rPr>
          <w:rFonts w:cs="URW Palladio L"/>
          <w:i/>
          <w:iCs/>
          <w:szCs w:val="21"/>
        </w:rPr>
        <w:t>Regonda et al.</w:t>
      </w:r>
      <w:r w:rsidR="00D64D9E" w:rsidRPr="00515990">
        <w:rPr>
          <w:rFonts w:cs="URW Palladio L"/>
          <w:i/>
          <w:iCs/>
          <w:szCs w:val="21"/>
        </w:rPr>
        <w:t xml:space="preserve">, </w:t>
      </w:r>
      <w:r w:rsidRPr="00515990">
        <w:rPr>
          <w:rFonts w:cs="URW Palladio L"/>
          <w:szCs w:val="21"/>
        </w:rPr>
        <w:t xml:space="preserve">2006) of </w:t>
      </w:r>
      <w:r w:rsidR="006D22CA">
        <w:rPr>
          <w:rFonts w:cs="URW Palladio L"/>
          <w:szCs w:val="21"/>
        </w:rPr>
        <w:t>index gauge flow</w:t>
      </w:r>
      <w:r w:rsidR="00EA28DB" w:rsidRPr="00EA28DB">
        <w:rPr>
          <w:rFonts w:cs="URW Palladio L"/>
          <w:position w:val="-8"/>
          <w:szCs w:val="21"/>
        </w:rPr>
        <w:object w:dxaOrig="180" w:dyaOrig="220">
          <v:shape id="_x0000_i1054" type="#_x0000_t75" style="width:9pt;height:11pt" o:ole="">
            <v:imagedata r:id="rId30" r:pict="rId31" o:title=""/>
          </v:shape>
          <o:OLEObject Type="Embed" ProgID="Equation.3" ShapeID="_x0000_i1054" DrawAspect="Content" ObjectID="_1230384747"/>
        </w:object>
      </w:r>
      <w:r w:rsidR="006D22CA">
        <w:rPr>
          <w:rFonts w:cs="URW Palladio L"/>
          <w:szCs w:val="21"/>
        </w:rPr>
        <w:t xml:space="preserve"> by </w:t>
      </w:r>
      <w:r w:rsidR="00EA28DB">
        <w:rPr>
          <w:rFonts w:cs="URW Palladio L"/>
          <w:szCs w:val="21"/>
        </w:rPr>
        <w:t xml:space="preserve">weighting the best models according to their GCV value (lower GCV gets higher weight).  Predictions are made by randomly selecting a model based on the given weights, predicting from the model, resampling the model standard error and repeating the process. </w:t>
      </w:r>
    </w:p>
    <w:p w:rsidR="00791B03" w:rsidRPr="00515990" w:rsidRDefault="00FD754A" w:rsidP="00FA038B">
      <w:pPr>
        <w:numPr>
          <w:ilvl w:val="0"/>
          <w:numId w:val="1"/>
        </w:numPr>
        <w:spacing w:after="120" w:line="480" w:lineRule="auto"/>
        <w:jc w:val="both"/>
        <w:rPr>
          <w:rFonts w:cs="URW Palladio L"/>
          <w:szCs w:val="21"/>
        </w:rPr>
      </w:pPr>
      <w:r w:rsidRPr="00515990">
        <w:rPr>
          <w:rFonts w:cs="URW Palladio L"/>
          <w:szCs w:val="21"/>
        </w:rPr>
        <w:t>D</w:t>
      </w:r>
      <w:r w:rsidR="00E34A2F" w:rsidRPr="00515990">
        <w:rPr>
          <w:rFonts w:cs="URW Palladio L"/>
          <w:szCs w:val="21"/>
        </w:rPr>
        <w:t xml:space="preserve">isaggregate the total seasonal </w:t>
      </w:r>
      <w:r w:rsidR="00977BCD">
        <w:rPr>
          <w:rFonts w:cs="URW Palladio L"/>
          <w:szCs w:val="21"/>
        </w:rPr>
        <w:t>fl</w:t>
      </w:r>
      <w:r w:rsidR="00E34A2F" w:rsidRPr="00515990">
        <w:rPr>
          <w:rFonts w:cs="URW Palladio L"/>
          <w:szCs w:val="21"/>
        </w:rPr>
        <w:t>ow at Less Ferry to to</w:t>
      </w:r>
      <w:r w:rsidR="00791B03" w:rsidRPr="00515990">
        <w:rPr>
          <w:rFonts w:cs="URW Palladio L"/>
          <w:szCs w:val="21"/>
        </w:rPr>
        <w:t xml:space="preserve">tal monthly </w:t>
      </w:r>
      <w:r w:rsidR="00977BCD">
        <w:rPr>
          <w:rFonts w:cs="URW Palladio L"/>
          <w:szCs w:val="21"/>
        </w:rPr>
        <w:t>fl</w:t>
      </w:r>
      <w:r w:rsidR="00791B03" w:rsidRPr="00515990">
        <w:rPr>
          <w:rFonts w:cs="URW Palladio L"/>
          <w:szCs w:val="21"/>
        </w:rPr>
        <w:t xml:space="preserve">ow at each site using the method of </w:t>
      </w:r>
      <w:r w:rsidR="00791B03" w:rsidRPr="00515990">
        <w:rPr>
          <w:rFonts w:cs="URW Palladio L"/>
          <w:i/>
          <w:iCs/>
          <w:szCs w:val="21"/>
        </w:rPr>
        <w:t xml:space="preserve">Nowak et al. </w:t>
      </w:r>
      <w:r w:rsidR="00791B03" w:rsidRPr="00515990">
        <w:rPr>
          <w:rFonts w:cs="URW Palladio L"/>
          <w:szCs w:val="21"/>
        </w:rPr>
        <w:t>(2010</w:t>
      </w:r>
      <w:r w:rsidR="00886374" w:rsidRPr="00515990">
        <w:rPr>
          <w:rFonts w:cs="URW Palladio L"/>
          <w:szCs w:val="21"/>
        </w:rPr>
        <w:t xml:space="preserve">). </w:t>
      </w:r>
    </w:p>
    <w:p w:rsidR="00E34A2F" w:rsidRPr="00515990" w:rsidRDefault="00791B03" w:rsidP="00FA038B">
      <w:pPr>
        <w:numPr>
          <w:ilvl w:val="0"/>
          <w:numId w:val="1"/>
        </w:numPr>
        <w:spacing w:after="120" w:line="480" w:lineRule="auto"/>
        <w:jc w:val="both"/>
        <w:rPr>
          <w:rFonts w:cs="URW Palladio L"/>
          <w:szCs w:val="21"/>
        </w:rPr>
      </w:pPr>
      <w:r w:rsidRPr="00515990">
        <w:rPr>
          <w:rFonts w:cs="URW Palladio L"/>
          <w:szCs w:val="21"/>
        </w:rPr>
        <w:t>C</w:t>
      </w:r>
      <w:r w:rsidR="00E34A2F" w:rsidRPr="00515990">
        <w:rPr>
          <w:rFonts w:cs="URW Palladio L"/>
          <w:szCs w:val="21"/>
        </w:rPr>
        <w:t xml:space="preserve">onvert the total </w:t>
      </w:r>
      <w:r w:rsidR="00977BCD">
        <w:rPr>
          <w:rFonts w:cs="URW Palladio L"/>
          <w:szCs w:val="21"/>
        </w:rPr>
        <w:t>fl</w:t>
      </w:r>
      <w:r w:rsidR="00E34A2F" w:rsidRPr="00515990">
        <w:rPr>
          <w:rFonts w:cs="URW Palladio L"/>
          <w:szCs w:val="21"/>
        </w:rPr>
        <w:t xml:space="preserve">ow at </w:t>
      </w:r>
      <w:r w:rsidR="00EA28DB">
        <w:rPr>
          <w:rFonts w:cs="URW Palladio L"/>
          <w:szCs w:val="21"/>
        </w:rPr>
        <w:t xml:space="preserve">each site to </w:t>
      </w:r>
      <w:r w:rsidR="00886374">
        <w:rPr>
          <w:rFonts w:cs="URW Palladio L"/>
          <w:szCs w:val="21"/>
        </w:rPr>
        <w:t>intervening</w:t>
      </w:r>
      <w:r w:rsidR="00EA28DB">
        <w:rPr>
          <w:rFonts w:cs="URW Palladio L"/>
          <w:szCs w:val="21"/>
        </w:rPr>
        <w:t xml:space="preserve"> </w:t>
      </w:r>
      <w:r w:rsidR="00977BCD">
        <w:rPr>
          <w:rFonts w:cs="URW Palladio L"/>
          <w:szCs w:val="21"/>
        </w:rPr>
        <w:t>fl</w:t>
      </w:r>
      <w:r w:rsidR="00EA28DB">
        <w:rPr>
          <w:rFonts w:cs="URW Palladio L"/>
          <w:szCs w:val="21"/>
        </w:rPr>
        <w:t>ow to obtain a final forecast.</w:t>
      </w:r>
    </w:p>
    <w:p w:rsidR="00791B03" w:rsidRPr="00515990" w:rsidRDefault="00791B03" w:rsidP="00D733AE">
      <w:pPr>
        <w:spacing w:after="120" w:line="480" w:lineRule="auto"/>
        <w:jc w:val="both"/>
        <w:rPr>
          <w:rFonts w:cs="URW Palladio L"/>
          <w:b/>
          <w:szCs w:val="21"/>
        </w:rPr>
      </w:pPr>
      <w:r w:rsidRPr="00515990">
        <w:rPr>
          <w:rFonts w:cs="URW Palladio L"/>
          <w:b/>
          <w:szCs w:val="21"/>
        </w:rPr>
        <w:t xml:space="preserve">5 </w:t>
      </w:r>
      <w:r w:rsidR="00A236C3">
        <w:rPr>
          <w:rFonts w:cs="URW Palladio L"/>
          <w:b/>
          <w:szCs w:val="21"/>
        </w:rPr>
        <w:t>Validation</w:t>
      </w:r>
    </w:p>
    <w:p w:rsidR="00F93A32" w:rsidRPr="00515990" w:rsidRDefault="00A236C3" w:rsidP="00D733AE">
      <w:pPr>
        <w:spacing w:after="120" w:line="480" w:lineRule="auto"/>
        <w:jc w:val="both"/>
        <w:rPr>
          <w:rFonts w:cs="URW Palladio L"/>
          <w:szCs w:val="21"/>
        </w:rPr>
      </w:pPr>
      <w:r>
        <w:rPr>
          <w:rFonts w:cs="URW Palladio L"/>
          <w:szCs w:val="21"/>
        </w:rPr>
        <w:t>We validate</w:t>
      </w:r>
      <w:r w:rsidR="00E34A2F" w:rsidRPr="00515990">
        <w:rPr>
          <w:rFonts w:cs="URW Palladio L"/>
          <w:szCs w:val="21"/>
        </w:rPr>
        <w:t xml:space="preserve"> the results using the same methods as </w:t>
      </w:r>
      <w:r w:rsidR="00E34A2F" w:rsidRPr="00515990">
        <w:rPr>
          <w:rFonts w:cs="URW Palladio L"/>
          <w:i/>
          <w:iCs/>
          <w:szCs w:val="21"/>
        </w:rPr>
        <w:t xml:space="preserve">Bracken et al. </w:t>
      </w:r>
      <w:r w:rsidR="00886374">
        <w:rPr>
          <w:rFonts w:cs="URW Palladio L"/>
          <w:szCs w:val="21"/>
        </w:rPr>
        <w:t xml:space="preserve">(2010). Leave-one-out cross validation, </w:t>
      </w:r>
      <w:r w:rsidR="00E34A2F" w:rsidRPr="00515990">
        <w:rPr>
          <w:rFonts w:cs="URW Palladio L"/>
          <w:szCs w:val="21"/>
        </w:rPr>
        <w:t xml:space="preserve">“retroactive” </w:t>
      </w:r>
      <w:r w:rsidR="00886374">
        <w:rPr>
          <w:rFonts w:cs="URW Palladio L"/>
          <w:szCs w:val="21"/>
        </w:rPr>
        <w:t>validation was</w:t>
      </w:r>
      <w:r w:rsidR="00E34A2F" w:rsidRPr="00515990">
        <w:rPr>
          <w:rFonts w:cs="URW Palladio L"/>
          <w:szCs w:val="21"/>
        </w:rPr>
        <w:t xml:space="preserve"> carried out.</w:t>
      </w:r>
      <w:r w:rsidR="00791B03" w:rsidRPr="00515990">
        <w:rPr>
          <w:rFonts w:cs="URW Palladio L"/>
          <w:szCs w:val="21"/>
        </w:rPr>
        <w:t xml:space="preserve"> </w:t>
      </w:r>
      <w:r>
        <w:rPr>
          <w:rFonts w:cs="URW Palladio L"/>
          <w:szCs w:val="21"/>
        </w:rPr>
        <w:t xml:space="preserve">Leave-one-out cross validation removes the current year form the model, and then predicts that year using the remaining data. </w:t>
      </w:r>
      <w:r w:rsidR="00E34A2F" w:rsidRPr="00515990">
        <w:rPr>
          <w:rFonts w:cs="URW Palladio L"/>
          <w:szCs w:val="21"/>
        </w:rPr>
        <w:t>Retroactive veri</w:t>
      </w:r>
      <w:r w:rsidR="00977BCD">
        <w:rPr>
          <w:rFonts w:cs="URW Palladio L"/>
          <w:szCs w:val="21"/>
        </w:rPr>
        <w:t>fi</w:t>
      </w:r>
      <w:r w:rsidR="00E34A2F" w:rsidRPr="00515990">
        <w:rPr>
          <w:rFonts w:cs="URW Palladio L"/>
          <w:szCs w:val="21"/>
        </w:rPr>
        <w:t xml:space="preserve">cation only uses the data available prior to the forecast year, as would be the case in real operations. </w:t>
      </w:r>
      <w:r w:rsidR="00515990" w:rsidRPr="00515990">
        <w:rPr>
          <w:rFonts w:cs="URW Palladio L"/>
          <w:szCs w:val="21"/>
        </w:rPr>
        <w:t xml:space="preserve">This way it is possible to compare directly to operational forecasts of the Colorado Basin River Forecast Center. </w:t>
      </w:r>
      <w:r w:rsidR="00E34A2F" w:rsidRPr="00515990">
        <w:rPr>
          <w:rFonts w:cs="URW Palladio L"/>
          <w:szCs w:val="21"/>
        </w:rPr>
        <w:t>The ranked probability skill score (RPSS) (</w:t>
      </w:r>
      <w:r w:rsidR="00E34A2F" w:rsidRPr="00515990">
        <w:rPr>
          <w:rFonts w:cs="URW Palladio L"/>
          <w:i/>
          <w:iCs/>
          <w:szCs w:val="21"/>
        </w:rPr>
        <w:t>Wilks</w:t>
      </w:r>
      <w:r w:rsidR="00886374">
        <w:rPr>
          <w:rFonts w:cs="URW Palladio L"/>
          <w:szCs w:val="21"/>
        </w:rPr>
        <w:t>, 1995) was</w:t>
      </w:r>
      <w:r w:rsidR="00E34A2F" w:rsidRPr="00515990">
        <w:rPr>
          <w:rFonts w:cs="URW Palladio L"/>
          <w:szCs w:val="21"/>
        </w:rPr>
        <w:t xml:space="preserve"> computed for each year in the history and then the median value is presented. </w:t>
      </w:r>
      <w:r w:rsidR="00886374">
        <w:rPr>
          <w:rFonts w:cs="URW Palladio L"/>
          <w:szCs w:val="21"/>
        </w:rPr>
        <w:t>The median correlation</w:t>
      </w:r>
      <w:r w:rsidR="00D67C25">
        <w:rPr>
          <w:rFonts w:cs="URW Palladio L"/>
          <w:szCs w:val="21"/>
        </w:rPr>
        <w:t xml:space="preserve">, the correlation between the historical data and the median of the ensembles for each year, </w:t>
      </w:r>
      <w:r w:rsidR="00886374">
        <w:rPr>
          <w:rFonts w:cs="URW Palladio L"/>
          <w:szCs w:val="21"/>
        </w:rPr>
        <w:t xml:space="preserve"> was also computed for each </w:t>
      </w:r>
      <w:r w:rsidR="00D67C25">
        <w:rPr>
          <w:rFonts w:cs="URW Palladio L"/>
          <w:szCs w:val="21"/>
        </w:rPr>
        <w:t xml:space="preserve">site/month combination. </w:t>
      </w:r>
    </w:p>
    <w:p w:rsidR="00E34A2F" w:rsidRPr="00515990" w:rsidRDefault="00E34A2F" w:rsidP="00F93A32"/>
    <w:p w:rsidR="00E34A2F" w:rsidRPr="00515990" w:rsidRDefault="00515990" w:rsidP="00D733AE">
      <w:pPr>
        <w:spacing w:after="120" w:line="480" w:lineRule="auto"/>
        <w:jc w:val="both"/>
        <w:rPr>
          <w:rFonts w:cs="URW Palladio L"/>
          <w:szCs w:val="23"/>
        </w:rPr>
      </w:pPr>
      <w:r>
        <w:rPr>
          <w:rFonts w:cs="URW Palladio L"/>
          <w:b/>
          <w:bCs/>
          <w:szCs w:val="23"/>
        </w:rPr>
        <w:t>6</w:t>
      </w:r>
      <w:r w:rsidR="00E34A2F" w:rsidRPr="00515990">
        <w:rPr>
          <w:rFonts w:cs="URW Palladio L"/>
          <w:b/>
          <w:bCs/>
          <w:szCs w:val="23"/>
        </w:rPr>
        <w:t xml:space="preserve"> Results </w:t>
      </w:r>
    </w:p>
    <w:p w:rsidR="00E34A2F" w:rsidRPr="003F3B3C" w:rsidRDefault="00E34A2F" w:rsidP="00D733AE">
      <w:pPr>
        <w:spacing w:after="120" w:line="480" w:lineRule="auto"/>
        <w:jc w:val="both"/>
        <w:rPr>
          <w:rFonts w:cs="URW Palladio L"/>
          <w:szCs w:val="21"/>
        </w:rPr>
      </w:pPr>
      <w:r w:rsidRPr="00515990">
        <w:rPr>
          <w:rFonts w:cs="URW Palladio L"/>
          <w:szCs w:val="21"/>
        </w:rPr>
        <w:t>When this analysis was repeated with</w:t>
      </w:r>
      <w:r w:rsidRPr="003F3B3C">
        <w:rPr>
          <w:rFonts w:cs="URW Palladio L"/>
          <w:szCs w:val="21"/>
        </w:rPr>
        <w:t xml:space="preserve"> the most recent </w:t>
      </w:r>
      <w:r w:rsidR="00977BCD">
        <w:rPr>
          <w:rFonts w:cs="URW Palladio L"/>
          <w:szCs w:val="21"/>
        </w:rPr>
        <w:t>fl</w:t>
      </w:r>
      <w:r w:rsidRPr="003F3B3C">
        <w:rPr>
          <w:rFonts w:cs="URW Palladio L"/>
          <w:szCs w:val="21"/>
        </w:rPr>
        <w:t xml:space="preserve">ow data, some of the correlation regions were slightly but not notably different than those using the four site index gauge from </w:t>
      </w:r>
      <w:r w:rsidRPr="003F3B3C">
        <w:rPr>
          <w:rFonts w:cs="URW Palladio L"/>
          <w:i/>
          <w:iCs/>
          <w:szCs w:val="21"/>
        </w:rPr>
        <w:t xml:space="preserve">Bracken et al. </w:t>
      </w:r>
      <w:r w:rsidRPr="003F3B3C">
        <w:rPr>
          <w:rFonts w:cs="URW Palladio L"/>
          <w:szCs w:val="21"/>
        </w:rPr>
        <w:t xml:space="preserve">(2010) so we will not reproduce </w:t>
      </w:r>
      <w:r w:rsidR="00A236C3">
        <w:rPr>
          <w:rFonts w:cs="URW Palladio L"/>
          <w:szCs w:val="21"/>
        </w:rPr>
        <w:t xml:space="preserve">them here. Interestingly enough, </w:t>
      </w:r>
      <w:r w:rsidRPr="003F3B3C">
        <w:rPr>
          <w:rFonts w:cs="URW Palladio L"/>
          <w:szCs w:val="21"/>
        </w:rPr>
        <w:t>the results with the slight modi</w:t>
      </w:r>
      <w:r w:rsidR="00977BCD">
        <w:rPr>
          <w:rFonts w:cs="URW Palladio L"/>
          <w:szCs w:val="21"/>
        </w:rPr>
        <w:t>fi</w:t>
      </w:r>
      <w:r w:rsidRPr="003F3B3C">
        <w:rPr>
          <w:rFonts w:cs="URW Palladio L"/>
          <w:szCs w:val="21"/>
        </w:rPr>
        <w:t xml:space="preserve">cations described in the methodology are somewhat different than those </w:t>
      </w:r>
      <w:r w:rsidR="00A236C3">
        <w:rPr>
          <w:rFonts w:cs="URW Palladio L"/>
          <w:szCs w:val="21"/>
        </w:rPr>
        <w:t xml:space="preserve">from </w:t>
      </w:r>
      <w:r w:rsidR="00A236C3" w:rsidRPr="003F3B3C">
        <w:rPr>
          <w:rFonts w:cs="URW Palladio L"/>
          <w:i/>
          <w:iCs/>
          <w:szCs w:val="21"/>
        </w:rPr>
        <w:t xml:space="preserve">Bracken et al. </w:t>
      </w:r>
      <w:r w:rsidR="00A236C3" w:rsidRPr="003F3B3C">
        <w:rPr>
          <w:rFonts w:cs="URW Palladio L"/>
          <w:szCs w:val="21"/>
        </w:rPr>
        <w:t>(2010)</w:t>
      </w:r>
      <w:r w:rsidRPr="003F3B3C">
        <w:rPr>
          <w:rFonts w:cs="URW Palladio L"/>
          <w:szCs w:val="21"/>
        </w:rPr>
        <w:t>. For instance the RPSS values for the index gauge in this study are slightly lower except for the earliest lead times where they are slightly higher (Table 2). One reason for this may be that we saw slightly different models being selected during predictor identi</w:t>
      </w:r>
      <w:r w:rsidR="00977BCD">
        <w:rPr>
          <w:rFonts w:cs="URW Palladio L"/>
          <w:szCs w:val="21"/>
        </w:rPr>
        <w:t>fi</w:t>
      </w:r>
      <w:r w:rsidRPr="003F3B3C">
        <w:rPr>
          <w:rFonts w:cs="URW Palladio L"/>
          <w:szCs w:val="21"/>
        </w:rPr>
        <w:t xml:space="preserve">cation. </w:t>
      </w:r>
    </w:p>
    <w:p w:rsidR="00BE0A62" w:rsidRPr="003F3B3C" w:rsidRDefault="00E34A2F" w:rsidP="00853AB9">
      <w:pPr>
        <w:spacing w:after="120" w:line="480" w:lineRule="auto"/>
        <w:jc w:val="both"/>
        <w:rPr>
          <w:rFonts w:cs="URW Palladio L"/>
          <w:szCs w:val="21"/>
        </w:rPr>
      </w:pPr>
      <w:r w:rsidRPr="003F3B3C">
        <w:rPr>
          <w:rFonts w:cs="URW Palladio L"/>
          <w:szCs w:val="21"/>
        </w:rPr>
        <w:t xml:space="preserve">Table 3 gives the results in terms of the RPSS after spatial and temporal disaggregation. The retroactive results show similar trends </w:t>
      </w:r>
      <w:r w:rsidR="00886374" w:rsidRPr="003F3B3C">
        <w:rPr>
          <w:rFonts w:cs="URW Palladio L"/>
          <w:szCs w:val="21"/>
        </w:rPr>
        <w:t>with</w:t>
      </w:r>
      <w:r w:rsidRPr="003F3B3C">
        <w:rPr>
          <w:rFonts w:cs="URW Palladio L"/>
          <w:szCs w:val="21"/>
        </w:rPr>
        <w:t xml:space="preserve"> slightly lower skills. In general we see the skills decreasing as lead time increases. Some sites such as the Duchesne River Near Randlett, UT (14) have </w:t>
      </w:r>
      <w:r w:rsidR="00886374" w:rsidRPr="003F3B3C">
        <w:rPr>
          <w:rFonts w:cs="URW Palladio L"/>
          <w:szCs w:val="21"/>
        </w:rPr>
        <w:t>consistently</w:t>
      </w:r>
      <w:r w:rsidRPr="003F3B3C">
        <w:rPr>
          <w:rFonts w:cs="URW Palladio L"/>
          <w:szCs w:val="21"/>
        </w:rPr>
        <w:t xml:space="preserve"> </w:t>
      </w:r>
      <w:r w:rsidR="00886374" w:rsidRPr="003F3B3C">
        <w:rPr>
          <w:rFonts w:cs="URW Palladio L"/>
          <w:szCs w:val="21"/>
        </w:rPr>
        <w:t>positive</w:t>
      </w:r>
      <w:r w:rsidRPr="003F3B3C">
        <w:rPr>
          <w:rFonts w:cs="URW Palladio L"/>
          <w:szCs w:val="21"/>
        </w:rPr>
        <w:t xml:space="preserve"> skill back to the Nov 1 lead time. June had the highest overall skill of any month, likely because the average peak </w:t>
      </w:r>
      <w:r w:rsidR="00977BCD">
        <w:rPr>
          <w:rFonts w:cs="URW Palladio L"/>
          <w:szCs w:val="21"/>
        </w:rPr>
        <w:t>fl</w:t>
      </w:r>
      <w:r w:rsidRPr="003F3B3C">
        <w:rPr>
          <w:rFonts w:cs="URW Palladio L"/>
          <w:szCs w:val="21"/>
        </w:rPr>
        <w:t>ow occurs in June. The sites included in the original study (8, 16, 19 and 20</w:t>
      </w:r>
      <w:r w:rsidR="002053D8">
        <w:rPr>
          <w:rFonts w:cs="URW Palladio L"/>
          <w:szCs w:val="21"/>
        </w:rPr>
        <w:t>, outlined in bold</w:t>
      </w:r>
      <w:r w:rsidRPr="003F3B3C">
        <w:rPr>
          <w:rFonts w:cs="URW Palladio L"/>
          <w:szCs w:val="21"/>
        </w:rPr>
        <w:t xml:space="preserve">) all tend to do very well. </w:t>
      </w:r>
      <w:r w:rsidR="002053D8">
        <w:rPr>
          <w:rFonts w:cs="URW Palladio L"/>
          <w:szCs w:val="21"/>
        </w:rPr>
        <w:t xml:space="preserve"> These “key” gauges represent the major contibutions to Lees Ferry flow. </w:t>
      </w:r>
      <w:r w:rsidRPr="003F3B3C">
        <w:rPr>
          <w:rFonts w:cs="URW Palladio L"/>
          <w:szCs w:val="21"/>
        </w:rPr>
        <w:t xml:space="preserve">This makes intuitive sense because these are the largest tributaries and will have a stronger response to large-scale climate. Another trend we see is that the skills tend to be better as we move toward the outlet of the basin. That is </w:t>
      </w:r>
      <w:r w:rsidR="00886374" w:rsidRPr="003F3B3C">
        <w:rPr>
          <w:rFonts w:cs="URW Palladio L"/>
          <w:szCs w:val="21"/>
        </w:rPr>
        <w:t>consistent</w:t>
      </w:r>
      <w:r w:rsidRPr="003F3B3C">
        <w:rPr>
          <w:rFonts w:cs="URW Palladio L"/>
          <w:szCs w:val="21"/>
        </w:rPr>
        <w:t xml:space="preserve"> with the result that the larger tributaries perform better. </w:t>
      </w:r>
      <w:r w:rsidR="002053D8" w:rsidRPr="003F3B3C">
        <w:rPr>
          <w:szCs w:val="21"/>
        </w:rPr>
        <w:t xml:space="preserve">Magnitudes of the disaggregated skills tend to be less that those seen in </w:t>
      </w:r>
      <w:r w:rsidR="002053D8" w:rsidRPr="003F3B3C">
        <w:rPr>
          <w:i/>
          <w:iCs/>
          <w:szCs w:val="21"/>
        </w:rPr>
        <w:t xml:space="preserve">Bracken et al. </w:t>
      </w:r>
      <w:r w:rsidR="002053D8" w:rsidRPr="003F3B3C">
        <w:rPr>
          <w:szCs w:val="21"/>
        </w:rPr>
        <w:t xml:space="preserve">(2010). Its seems that some of the skill is “distributed” among the new sites. </w:t>
      </w:r>
      <w:r w:rsidR="002053D8">
        <w:rPr>
          <w:szCs w:val="21"/>
        </w:rPr>
        <w:t xml:space="preserve">  </w:t>
      </w:r>
      <w:r w:rsidR="00FB0AA0">
        <w:rPr>
          <w:rFonts w:cs="URW Palladio L"/>
          <w:szCs w:val="21"/>
        </w:rPr>
        <w:t>One possible extension to improve skills in smaller tributaries would be disaggregate in chunks based on regions (such as the San Juan basin)</w:t>
      </w:r>
      <w:r w:rsidR="00672802">
        <w:rPr>
          <w:rFonts w:cs="URW Palladio L"/>
          <w:szCs w:val="21"/>
        </w:rPr>
        <w:t xml:space="preserve"> to better capture regional behavior.</w:t>
      </w:r>
    </w:p>
    <w:p w:rsidR="00BE0A62" w:rsidRPr="00BF60EC" w:rsidRDefault="00BE0A62" w:rsidP="00BF60EC">
      <w:pPr>
        <w:pStyle w:val="Caption"/>
        <w:jc w:val="center"/>
      </w:pPr>
      <w:r w:rsidRPr="00BF60EC">
        <w:t xml:space="preserve">Table </w:t>
      </w:r>
      <w:r w:rsidR="00AA54AB" w:rsidRPr="00BF60EC">
        <w:fldChar w:fldCharType="begin"/>
      </w:r>
      <w:r w:rsidRPr="00BF60EC">
        <w:instrText xml:space="preserve"> SEQ Table \* ARABIC </w:instrText>
      </w:r>
      <w:r w:rsidR="00AA54AB" w:rsidRPr="00BF60EC">
        <w:fldChar w:fldCharType="separate"/>
      </w:r>
      <w:r w:rsidR="00F93A32" w:rsidRPr="00BF60EC">
        <w:rPr>
          <w:noProof/>
        </w:rPr>
        <w:t>1</w:t>
      </w:r>
      <w:r w:rsidR="00AA54AB" w:rsidRPr="00BF60EC">
        <w:fldChar w:fldCharType="end"/>
      </w:r>
      <w:r w:rsidRPr="00BF60EC">
        <w:rPr>
          <w:rFonts w:eastAsia="Times New Roman"/>
        </w:rPr>
        <w:t>: RPSS values for the index gauge for each lead time.</w:t>
      </w:r>
    </w:p>
    <w:tbl>
      <w:tblPr>
        <w:tblW w:w="5916" w:type="dxa"/>
        <w:jc w:val="center"/>
        <w:tblLook w:val="0400"/>
      </w:tblPr>
      <w:tblGrid>
        <w:gridCol w:w="2390"/>
        <w:gridCol w:w="890"/>
        <w:gridCol w:w="885"/>
        <w:gridCol w:w="832"/>
        <w:gridCol w:w="919"/>
      </w:tblGrid>
      <w:tr w:rsidR="00BE0A62" w:rsidRPr="00BF60EC">
        <w:trPr>
          <w:cantSplit/>
          <w:jc w:val="center"/>
        </w:trPr>
        <w:tc>
          <w:tcPr>
            <w:tcW w:w="2390" w:type="dxa"/>
            <w:tcBorders>
              <w:top w:val="single" w:sz="4" w:space="0" w:color="auto"/>
              <w:bottom w:val="single" w:sz="4" w:space="0" w:color="auto"/>
            </w:tcBorders>
            <w:shd w:val="clear" w:color="auto" w:fill="auto"/>
          </w:tcPr>
          <w:p w:rsidR="00BE0A62" w:rsidRPr="00BF60EC" w:rsidRDefault="00BE0A62" w:rsidP="00BF60EC">
            <w:pPr>
              <w:jc w:val="right"/>
            </w:pPr>
          </w:p>
        </w:tc>
        <w:tc>
          <w:tcPr>
            <w:tcW w:w="890" w:type="dxa"/>
            <w:tcBorders>
              <w:top w:val="single" w:sz="4" w:space="0" w:color="auto"/>
              <w:bottom w:val="single" w:sz="4" w:space="0" w:color="auto"/>
            </w:tcBorders>
            <w:shd w:val="clear" w:color="auto" w:fill="auto"/>
          </w:tcPr>
          <w:p w:rsidR="00BE0A62" w:rsidRPr="00BF60EC" w:rsidRDefault="00BE0A62" w:rsidP="00BF60EC">
            <w:pPr>
              <w:jc w:val="center"/>
            </w:pPr>
            <w:r w:rsidRPr="00BF60EC">
              <w:t>Apr1</w:t>
            </w:r>
          </w:p>
        </w:tc>
        <w:tc>
          <w:tcPr>
            <w:tcW w:w="885" w:type="dxa"/>
            <w:tcBorders>
              <w:top w:val="single" w:sz="4" w:space="0" w:color="auto"/>
              <w:bottom w:val="single" w:sz="4" w:space="0" w:color="auto"/>
            </w:tcBorders>
            <w:shd w:val="clear" w:color="auto" w:fill="auto"/>
          </w:tcPr>
          <w:p w:rsidR="00BE0A62" w:rsidRPr="00BF60EC" w:rsidRDefault="00BE0A62" w:rsidP="00BF60EC">
            <w:pPr>
              <w:jc w:val="center"/>
            </w:pPr>
            <w:r w:rsidRPr="00BF60EC">
              <w:t>Feb1</w:t>
            </w:r>
          </w:p>
        </w:tc>
        <w:tc>
          <w:tcPr>
            <w:tcW w:w="832" w:type="dxa"/>
            <w:tcBorders>
              <w:top w:val="single" w:sz="4" w:space="0" w:color="auto"/>
              <w:bottom w:val="single" w:sz="4" w:space="0" w:color="auto"/>
            </w:tcBorders>
            <w:shd w:val="clear" w:color="auto" w:fill="auto"/>
          </w:tcPr>
          <w:p w:rsidR="00BE0A62" w:rsidRPr="00BF60EC" w:rsidRDefault="00BE0A62" w:rsidP="00BF60EC">
            <w:pPr>
              <w:jc w:val="center"/>
            </w:pPr>
            <w:r w:rsidRPr="00BF60EC">
              <w:t>Jan1</w:t>
            </w:r>
          </w:p>
        </w:tc>
        <w:tc>
          <w:tcPr>
            <w:tcW w:w="919" w:type="dxa"/>
            <w:tcBorders>
              <w:top w:val="single" w:sz="4" w:space="0" w:color="auto"/>
              <w:bottom w:val="single" w:sz="4" w:space="0" w:color="auto"/>
            </w:tcBorders>
            <w:shd w:val="clear" w:color="auto" w:fill="auto"/>
          </w:tcPr>
          <w:p w:rsidR="00BE0A62" w:rsidRPr="00BF60EC" w:rsidRDefault="00BE0A62" w:rsidP="00BF60EC">
            <w:pPr>
              <w:jc w:val="center"/>
            </w:pPr>
            <w:r w:rsidRPr="00BF60EC">
              <w:t>Nov1</w:t>
            </w:r>
          </w:p>
        </w:tc>
      </w:tr>
      <w:tr w:rsidR="00BE0A62" w:rsidRPr="00BF60EC">
        <w:trPr>
          <w:cantSplit/>
          <w:jc w:val="center"/>
        </w:trPr>
        <w:tc>
          <w:tcPr>
            <w:tcW w:w="2390" w:type="dxa"/>
            <w:tcBorders>
              <w:top w:val="single" w:sz="4" w:space="0" w:color="auto"/>
            </w:tcBorders>
            <w:shd w:val="clear" w:color="auto" w:fill="auto"/>
          </w:tcPr>
          <w:p w:rsidR="00BE0A62" w:rsidRPr="00BF60EC" w:rsidRDefault="00BE0A62" w:rsidP="00BF60EC">
            <w:pPr>
              <w:jc w:val="right"/>
            </w:pPr>
            <w:r w:rsidRPr="00BF60EC">
              <w:t>Leave-one out</w:t>
            </w:r>
          </w:p>
        </w:tc>
        <w:tc>
          <w:tcPr>
            <w:tcW w:w="890" w:type="dxa"/>
            <w:tcBorders>
              <w:top w:val="single" w:sz="4" w:space="0" w:color="auto"/>
            </w:tcBorders>
            <w:shd w:val="clear" w:color="auto" w:fill="auto"/>
          </w:tcPr>
          <w:p w:rsidR="00BE0A62" w:rsidRPr="00BF60EC" w:rsidRDefault="00BE0A62" w:rsidP="00BF60EC">
            <w:pPr>
              <w:jc w:val="center"/>
            </w:pPr>
            <w:r w:rsidRPr="00BF60EC">
              <w:t>0.85</w:t>
            </w:r>
          </w:p>
        </w:tc>
        <w:tc>
          <w:tcPr>
            <w:tcW w:w="885" w:type="dxa"/>
            <w:tcBorders>
              <w:top w:val="single" w:sz="4" w:space="0" w:color="auto"/>
            </w:tcBorders>
            <w:shd w:val="clear" w:color="auto" w:fill="auto"/>
          </w:tcPr>
          <w:p w:rsidR="00BE0A62" w:rsidRPr="00BF60EC" w:rsidRDefault="00BE0A62" w:rsidP="00BF60EC">
            <w:pPr>
              <w:jc w:val="center"/>
            </w:pPr>
            <w:r w:rsidRPr="00BF60EC">
              <w:t>0.74</w:t>
            </w:r>
          </w:p>
        </w:tc>
        <w:tc>
          <w:tcPr>
            <w:tcW w:w="832" w:type="dxa"/>
            <w:tcBorders>
              <w:top w:val="single" w:sz="4" w:space="0" w:color="auto"/>
            </w:tcBorders>
            <w:shd w:val="clear" w:color="auto" w:fill="auto"/>
          </w:tcPr>
          <w:p w:rsidR="00BE0A62" w:rsidRPr="00BF60EC" w:rsidRDefault="00BE0A62" w:rsidP="00BF60EC">
            <w:pPr>
              <w:jc w:val="center"/>
            </w:pPr>
            <w:r w:rsidRPr="00BF60EC">
              <w:t>0.49</w:t>
            </w:r>
          </w:p>
        </w:tc>
        <w:tc>
          <w:tcPr>
            <w:tcW w:w="919" w:type="dxa"/>
            <w:tcBorders>
              <w:top w:val="single" w:sz="4" w:space="0" w:color="auto"/>
            </w:tcBorders>
            <w:shd w:val="clear" w:color="auto" w:fill="auto"/>
          </w:tcPr>
          <w:p w:rsidR="00BE0A62" w:rsidRPr="00BF60EC" w:rsidRDefault="00BE0A62" w:rsidP="00BF60EC">
            <w:pPr>
              <w:jc w:val="center"/>
            </w:pPr>
            <w:r w:rsidRPr="00BF60EC">
              <w:t>0.30</w:t>
            </w:r>
          </w:p>
        </w:tc>
      </w:tr>
      <w:tr w:rsidR="00BE0A62" w:rsidRPr="00BF60EC">
        <w:trPr>
          <w:cantSplit/>
          <w:jc w:val="center"/>
        </w:trPr>
        <w:tc>
          <w:tcPr>
            <w:tcW w:w="2390" w:type="dxa"/>
            <w:tcBorders>
              <w:bottom w:val="single" w:sz="4" w:space="0" w:color="auto"/>
            </w:tcBorders>
            <w:shd w:val="clear" w:color="auto" w:fill="auto"/>
          </w:tcPr>
          <w:p w:rsidR="00BE0A62" w:rsidRPr="00BF60EC" w:rsidRDefault="00BE0A62" w:rsidP="00BF60EC">
            <w:pPr>
              <w:jc w:val="right"/>
            </w:pPr>
            <w:r w:rsidRPr="00BF60EC">
              <w:t>Retroactive</w:t>
            </w:r>
          </w:p>
        </w:tc>
        <w:tc>
          <w:tcPr>
            <w:tcW w:w="890" w:type="dxa"/>
            <w:tcBorders>
              <w:bottom w:val="single" w:sz="4" w:space="0" w:color="auto"/>
            </w:tcBorders>
            <w:shd w:val="clear" w:color="auto" w:fill="auto"/>
          </w:tcPr>
          <w:p w:rsidR="00BE0A62" w:rsidRPr="00BF60EC" w:rsidRDefault="00BE0A62" w:rsidP="00BF60EC">
            <w:pPr>
              <w:jc w:val="center"/>
            </w:pPr>
            <w:r w:rsidRPr="00BF60EC">
              <w:t>0.62</w:t>
            </w:r>
          </w:p>
        </w:tc>
        <w:tc>
          <w:tcPr>
            <w:tcW w:w="885" w:type="dxa"/>
            <w:tcBorders>
              <w:bottom w:val="single" w:sz="4" w:space="0" w:color="auto"/>
            </w:tcBorders>
            <w:shd w:val="clear" w:color="auto" w:fill="auto"/>
          </w:tcPr>
          <w:p w:rsidR="00BE0A62" w:rsidRPr="00BF60EC" w:rsidRDefault="00BE0A62" w:rsidP="00BF60EC">
            <w:pPr>
              <w:jc w:val="center"/>
            </w:pPr>
            <w:r w:rsidRPr="00BF60EC">
              <w:t>0.58</w:t>
            </w:r>
          </w:p>
        </w:tc>
        <w:tc>
          <w:tcPr>
            <w:tcW w:w="832" w:type="dxa"/>
            <w:tcBorders>
              <w:bottom w:val="single" w:sz="4" w:space="0" w:color="auto"/>
            </w:tcBorders>
            <w:shd w:val="clear" w:color="auto" w:fill="auto"/>
          </w:tcPr>
          <w:p w:rsidR="00BE0A62" w:rsidRPr="00BF60EC" w:rsidRDefault="00BE0A62" w:rsidP="00BF60EC">
            <w:pPr>
              <w:jc w:val="center"/>
            </w:pPr>
            <w:r w:rsidRPr="00BF60EC">
              <w:t>0.55</w:t>
            </w:r>
          </w:p>
        </w:tc>
        <w:tc>
          <w:tcPr>
            <w:tcW w:w="919" w:type="dxa"/>
            <w:tcBorders>
              <w:bottom w:val="single" w:sz="4" w:space="0" w:color="auto"/>
            </w:tcBorders>
            <w:shd w:val="clear" w:color="auto" w:fill="auto"/>
          </w:tcPr>
          <w:p w:rsidR="00BE0A62" w:rsidRPr="00BF60EC" w:rsidRDefault="00BE0A62" w:rsidP="00BF60EC">
            <w:pPr>
              <w:jc w:val="center"/>
            </w:pPr>
            <w:r w:rsidRPr="00BF60EC">
              <w:t>0.52</w:t>
            </w:r>
          </w:p>
        </w:tc>
      </w:tr>
    </w:tbl>
    <w:p w:rsidR="00D733AE" w:rsidRPr="00BF60EC" w:rsidRDefault="00D733AE" w:rsidP="00BE0A62"/>
    <w:p w:rsidR="00F93A32" w:rsidRPr="00FB0AA0" w:rsidRDefault="00D733AE" w:rsidP="00FB0AA0">
      <w:pPr>
        <w:spacing w:after="120" w:line="480" w:lineRule="auto"/>
        <w:rPr>
          <w:szCs w:val="21"/>
        </w:rPr>
        <w:sectPr w:rsidR="00F93A32" w:rsidRPr="00FB0AA0">
          <w:pgSz w:w="12240" w:h="16340"/>
          <w:pgMar w:top="1146" w:right="1177" w:bottom="1440" w:left="1346" w:gutter="0"/>
          <w:noEndnote/>
        </w:sectPr>
      </w:pPr>
      <w:r w:rsidRPr="003F3B3C">
        <w:rPr>
          <w:szCs w:val="21"/>
        </w:rPr>
        <w:t xml:space="preserve">Figure 2 shows some sample ensemble forecasts for three sites and months. These plots show the general trend that applies across most sites, ensemble variability increases and skill decreases as lead time </w:t>
      </w:r>
      <w:r w:rsidR="00886374" w:rsidRPr="003F3B3C">
        <w:rPr>
          <w:szCs w:val="21"/>
        </w:rPr>
        <w:t>increases</w:t>
      </w:r>
      <w:r w:rsidR="00853AB9" w:rsidRPr="003F3B3C">
        <w:rPr>
          <w:szCs w:val="21"/>
        </w:rPr>
        <w:t>.</w:t>
      </w:r>
      <w:r w:rsidR="00FB0AA0">
        <w:rPr>
          <w:szCs w:val="21"/>
        </w:rPr>
        <w:t xml:space="preserve"> </w:t>
      </w:r>
      <w:r w:rsidR="00FB0AA0">
        <w:fldChar w:fldCharType="begin"/>
      </w:r>
      <w:r w:rsidR="00FB0AA0">
        <w:instrText xml:space="preserve"> REF _Ref156641272 \h </w:instrText>
      </w:r>
      <w:r w:rsidR="00FB0AA0">
        <w:fldChar w:fldCharType="separate"/>
      </w:r>
      <w:r w:rsidR="00FB0AA0">
        <w:t xml:space="preserve">Figure </w:t>
      </w:r>
      <w:r w:rsidR="00FB0AA0">
        <w:rPr>
          <w:noProof/>
        </w:rPr>
        <w:t>4</w:t>
      </w:r>
      <w:r w:rsidR="00FB0AA0">
        <w:fldChar w:fldCharType="end"/>
      </w:r>
      <w:r w:rsidR="00FB0AA0">
        <w:t xml:space="preserve"> shows the forecasts in retroactive mode at </w:t>
      </w:r>
      <w:r w:rsidR="00FB0AA0" w:rsidRPr="003F3B3C">
        <w:rPr>
          <w:sz w:val="21"/>
          <w:szCs w:val="21"/>
        </w:rPr>
        <w:t>Duchesne River Near Randlett, UT</w:t>
      </w:r>
      <w:r w:rsidR="00FB0AA0">
        <w:rPr>
          <w:sz w:val="21"/>
          <w:szCs w:val="21"/>
        </w:rPr>
        <w:t>. In this example, skill does not greatly decrease with lead time but we can see that the variance of the forecasts is much smaller for Apr1 than for any other lead time.</w:t>
      </w:r>
      <w:r w:rsidR="00A45AF6">
        <w:rPr>
          <w:sz w:val="21"/>
          <w:szCs w:val="21"/>
        </w:rPr>
        <w:t xml:space="preserve">  </w:t>
      </w:r>
    </w:p>
    <w:p w:rsidR="00E35494" w:rsidRPr="00A93C86" w:rsidRDefault="00F93A32" w:rsidP="00A93C86">
      <w:pPr>
        <w:pStyle w:val="Caption"/>
        <w:keepNext/>
        <w:jc w:val="center"/>
      </w:pPr>
      <w:r w:rsidRPr="003F3B3C">
        <w:t xml:space="preserve">Table </w:t>
      </w:r>
      <w:r w:rsidR="00AA54AB" w:rsidRPr="003F3B3C">
        <w:fldChar w:fldCharType="begin"/>
      </w:r>
      <w:r w:rsidRPr="003F3B3C">
        <w:instrText xml:space="preserve"> SEQ Table \* ARABIC </w:instrText>
      </w:r>
      <w:r w:rsidR="00AA54AB" w:rsidRPr="003F3B3C">
        <w:fldChar w:fldCharType="separate"/>
      </w:r>
      <w:r w:rsidRPr="003F3B3C">
        <w:rPr>
          <w:noProof/>
        </w:rPr>
        <w:t>2</w:t>
      </w:r>
      <w:r w:rsidR="00AA54AB" w:rsidRPr="003F3B3C">
        <w:fldChar w:fldCharType="end"/>
      </w:r>
      <w:r w:rsidRPr="003F3B3C">
        <w:t>: RPSS</w:t>
      </w:r>
      <w:r w:rsidR="00FB0AA0">
        <w:t xml:space="preserve"> and MC (in parentheses)</w:t>
      </w:r>
      <w:r w:rsidRPr="003F3B3C">
        <w:t xml:space="preserve"> after disaggregation and drop-one cross validation for each lead time.</w:t>
      </w:r>
      <w:r w:rsidR="00FB0AA0">
        <w:t xml:space="preserve"> At 95% confidence 0.21 is a significant correlation. </w:t>
      </w:r>
    </w:p>
    <w:tbl>
      <w:tblPr>
        <w:tblW w:w="14330" w:type="dxa"/>
        <w:tblInd w:w="88" w:type="dxa"/>
        <w:tblLook w:val="0000"/>
      </w:tblPr>
      <w:tblGrid>
        <w:gridCol w:w="509"/>
        <w:gridCol w:w="1131"/>
        <w:gridCol w:w="1080"/>
        <w:gridCol w:w="1080"/>
        <w:gridCol w:w="1080"/>
        <w:gridCol w:w="1170"/>
        <w:gridCol w:w="1080"/>
        <w:gridCol w:w="1170"/>
        <w:gridCol w:w="1170"/>
        <w:gridCol w:w="1260"/>
        <w:gridCol w:w="1170"/>
        <w:gridCol w:w="1260"/>
        <w:gridCol w:w="1170"/>
      </w:tblGrid>
      <w:tr w:rsidR="00A93C86" w:rsidRPr="00A93C86">
        <w:trPr>
          <w:trHeight w:val="200"/>
        </w:trPr>
        <w:tc>
          <w:tcPr>
            <w:tcW w:w="509"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rPr>
                <w:rFonts w:eastAsia="Times New Roman" w:cs="Times New Roman"/>
                <w:sz w:val="18"/>
                <w:szCs w:val="18"/>
              </w:rPr>
            </w:pPr>
            <w:r w:rsidRPr="00A93C86">
              <w:rPr>
                <w:rFonts w:eastAsia="Times New Roman" w:cs="Times New Roman"/>
                <w:sz w:val="18"/>
                <w:szCs w:val="18"/>
              </w:rPr>
              <w:t> </w:t>
            </w:r>
          </w:p>
        </w:tc>
        <w:tc>
          <w:tcPr>
            <w:tcW w:w="4371" w:type="dxa"/>
            <w:gridSpan w:val="4"/>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Apr1</w:t>
            </w:r>
          </w:p>
        </w:tc>
        <w:tc>
          <w:tcPr>
            <w:tcW w:w="4590" w:type="dxa"/>
            <w:gridSpan w:val="4"/>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Jan1</w:t>
            </w:r>
          </w:p>
        </w:tc>
        <w:tc>
          <w:tcPr>
            <w:tcW w:w="4860" w:type="dxa"/>
            <w:gridSpan w:val="4"/>
            <w:tcBorders>
              <w:top w:val="single" w:sz="4" w:space="0" w:color="auto"/>
              <w:left w:val="nil"/>
              <w:bottom w:val="single" w:sz="4" w:space="0" w:color="auto"/>
              <w:right w:val="nil"/>
            </w:tcBorders>
            <w:shd w:val="clear" w:color="auto" w:fill="auto"/>
            <w:noWrap/>
            <w:vAlign w:val="bottom"/>
          </w:tcPr>
          <w:p w:rsidR="00A93C86" w:rsidRPr="00A93C86" w:rsidRDefault="00BF60EC" w:rsidP="00BF60EC">
            <w:pPr>
              <w:jc w:val="center"/>
              <w:rPr>
                <w:rFonts w:eastAsia="Times New Roman" w:cs="Times New Roman"/>
                <w:sz w:val="18"/>
                <w:szCs w:val="18"/>
              </w:rPr>
            </w:pPr>
            <w:r>
              <w:rPr>
                <w:rFonts w:eastAsia="Times New Roman" w:cs="Times New Roman"/>
                <w:sz w:val="18"/>
                <w:szCs w:val="18"/>
              </w:rPr>
              <w:t>Nov</w:t>
            </w:r>
            <w:r w:rsidR="00A93C86" w:rsidRPr="00A93C86">
              <w:rPr>
                <w:rFonts w:eastAsia="Times New Roman" w:cs="Times New Roman"/>
                <w:sz w:val="18"/>
                <w:szCs w:val="18"/>
              </w:rPr>
              <w:t>1</w:t>
            </w:r>
          </w:p>
        </w:tc>
      </w:tr>
      <w:tr w:rsidR="00A677F8" w:rsidRPr="00A93C86">
        <w:trPr>
          <w:trHeight w:val="200"/>
        </w:trPr>
        <w:tc>
          <w:tcPr>
            <w:tcW w:w="509"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Site</w:t>
            </w:r>
          </w:p>
        </w:tc>
        <w:tc>
          <w:tcPr>
            <w:tcW w:w="1131"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April</w:t>
            </w:r>
          </w:p>
        </w:tc>
        <w:tc>
          <w:tcPr>
            <w:tcW w:w="108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May</w:t>
            </w:r>
          </w:p>
        </w:tc>
        <w:tc>
          <w:tcPr>
            <w:tcW w:w="108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June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July</w:t>
            </w:r>
          </w:p>
        </w:tc>
        <w:tc>
          <w:tcPr>
            <w:tcW w:w="117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April</w:t>
            </w:r>
          </w:p>
        </w:tc>
        <w:tc>
          <w:tcPr>
            <w:tcW w:w="108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May</w:t>
            </w:r>
          </w:p>
        </w:tc>
        <w:tc>
          <w:tcPr>
            <w:tcW w:w="117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June</w:t>
            </w:r>
          </w:p>
        </w:tc>
        <w:tc>
          <w:tcPr>
            <w:tcW w:w="1170" w:type="dxa"/>
            <w:tcBorders>
              <w:top w:val="single" w:sz="4" w:space="0" w:color="auto"/>
              <w:left w:val="nil"/>
              <w:bottom w:val="single" w:sz="4" w:space="0" w:color="auto"/>
              <w:right w:val="single" w:sz="4" w:space="0" w:color="auto"/>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July</w:t>
            </w:r>
          </w:p>
        </w:tc>
        <w:tc>
          <w:tcPr>
            <w:tcW w:w="126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April</w:t>
            </w:r>
          </w:p>
        </w:tc>
        <w:tc>
          <w:tcPr>
            <w:tcW w:w="117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May</w:t>
            </w:r>
          </w:p>
        </w:tc>
        <w:tc>
          <w:tcPr>
            <w:tcW w:w="126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June</w:t>
            </w:r>
          </w:p>
        </w:tc>
        <w:tc>
          <w:tcPr>
            <w:tcW w:w="1170" w:type="dxa"/>
            <w:tcBorders>
              <w:top w:val="single" w:sz="4" w:space="0" w:color="auto"/>
              <w:left w:val="nil"/>
              <w:bottom w:val="single" w:sz="4" w:space="0" w:color="auto"/>
              <w:right w:val="nil"/>
            </w:tcBorders>
            <w:shd w:val="clear" w:color="auto" w:fill="auto"/>
            <w:noWrap/>
            <w:vAlign w:val="bottom"/>
          </w:tcPr>
          <w:p w:rsidR="00A93C86" w:rsidRPr="00A93C86" w:rsidRDefault="00A93C86" w:rsidP="00A93C86">
            <w:pPr>
              <w:jc w:val="center"/>
              <w:rPr>
                <w:rFonts w:eastAsia="Times New Roman" w:cs="Times New Roman"/>
                <w:sz w:val="18"/>
                <w:szCs w:val="18"/>
              </w:rPr>
            </w:pPr>
            <w:r w:rsidRPr="00A93C86">
              <w:rPr>
                <w:rFonts w:eastAsia="Times New Roman" w:cs="Times New Roman"/>
                <w:sz w:val="18"/>
                <w:szCs w:val="18"/>
              </w:rPr>
              <w:t>July</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(0.22)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0.18 (0.63)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0.50 (0.78)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0.34 (0.61)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-0.09 (0.24)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0.13 (0.51)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0.31 (0.63)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0.24 (0.53)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-0.15 (0.21)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0.07 (0.41)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0.11 (0.41)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0.27 (0.47)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2</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0.07 (0.42)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0.36 (0.68)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0.76 (0.75)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0.55 (0.59)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(0.41)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0.11 (0.54)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0.37 (0.71)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0.50 (0.58)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(0.37)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0.01 (0.51)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0.18 (0.53)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0.39 (0.49)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3</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0.13 (0.10)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(0.41)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0.50 (0.73)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0.53 (0.55)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(-0.07)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(0.12)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0.19 (0.57)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0.37 (0.45)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(-0.03)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0.01 (0.00)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0.07 (0.39)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0.33 (0.37)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4</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(0.52)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0.43 (0.63)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0.71 (0.77)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0.65 (0.59)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0.07 (0.33)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0.24 (0.57)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0.34 (0.61)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0.40 (0.43)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0.01 (0.18)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0.17 (0.36)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0.18 (0.44)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0.22 (0.41)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5</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0.18 (0.49)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0.34 (0.56)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0.43 (0.61)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0.44 (0.47)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(0.41)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0.15 (0.61)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0.32 (0.65)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0.09 (0.49)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0.02 (0.33)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0.12 (0.48)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0.26 (0.50)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(0.38)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6</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0.13 (0.48)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0.57 (0.71)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0.63 (0.64)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0.61 (0.54)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0.05 (0.46)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0.40 (0.68)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0.39 (0.58)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0.27 (0.50)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0.00 (0.39)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0.39 (0.55)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0.40 (0.50)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0.26 (0.42)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7</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0.38 (0.60)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0.28 (0.59)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0.51 (0.60)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0.42 (0.58)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0.16 (0.46)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0.29 (0.59)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0.35 (0.53)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0.40 (0.47)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0.10 (0.34)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0.28 (0.51)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0.25 (0.47)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0.40 (0.45)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8</w:t>
            </w:r>
          </w:p>
        </w:tc>
        <w:tc>
          <w:tcPr>
            <w:tcW w:w="1131"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0.13 (-0.03)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0.11 (0.17)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0.00 (0.30) </w:t>
            </w:r>
          </w:p>
        </w:tc>
        <w:tc>
          <w:tcPr>
            <w:tcW w:w="1080" w:type="dxa"/>
            <w:tcBorders>
              <w:top w:val="nil"/>
              <w:left w:val="nil"/>
              <w:bottom w:val="nil"/>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0.21 (0.43)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0.01 (-0.01)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0.00 (0.11)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-0.02 (0.29) </w:t>
            </w:r>
          </w:p>
        </w:tc>
        <w:tc>
          <w:tcPr>
            <w:tcW w:w="1170" w:type="dxa"/>
            <w:tcBorders>
              <w:top w:val="nil"/>
              <w:left w:val="nil"/>
              <w:bottom w:val="nil"/>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0.07 (0.24) </w:t>
            </w:r>
          </w:p>
        </w:tc>
        <w:tc>
          <w:tcPr>
            <w:tcW w:w="126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0.04 (-0.03)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-0.08 (0.23) </w:t>
            </w:r>
          </w:p>
        </w:tc>
        <w:tc>
          <w:tcPr>
            <w:tcW w:w="126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-0.07 (0.12)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0.04 (0.31)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9</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0.28 (0.58)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0.41 (0.73)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0.20 (0.54)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0.30 (0.45)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0.10 (0.40)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0.17 (0.48)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(0.15)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(0.38)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(0.08)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(0.33)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-0.21 (-0.08)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(0.19)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10</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(0.32)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0.25 (0.16)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0.10 (0.43)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0.23 (0.52)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(0.12)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0.10 (0.22)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-0.03 (0.27)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0.10 (0.21)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(0.11)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0.12 (0.16)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-0.11 (0.12)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0.09 (0.23)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11</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0.25 (0.55)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0.52 (0.73)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0.38 (0.49)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0.09 (0.29)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0.20 (0.56)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0.33 (0.73)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0.23 (0.42)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0.18 (0.36)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0.07 (0.44)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0.30 (0.60)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0.20 (0.18)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0.21 (0.32)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12</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0.26 (0.53)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0.47 (0.74)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0.60 (0.72)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0.49 (0.62)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0.05 (0.39)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0.29 (0.62)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0.32 (0.61)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0.32 (0.50)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-0.09 (0.35)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0.27 (0.50)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0.21 (0.45)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0.30 (0.45)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13</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0.12 (0.34)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0.49 (0.67)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0.33 (0.66)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0.29 (0.48)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0.04 (0.33)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0.37 (0.66)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0.27 (0.68)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0.12 (0.17)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0.06 (0.31)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0.32 (0.52)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0.21 (0.52)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0.11 (0.17)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14</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0.36 (0.62)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0.59 (0.69)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0.44 (0.68)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0.39 (0.47)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0.27 (0.57)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0.27 (0.65)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0.32 (0.56)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0.30 (0.38)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0.22 (0.43)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0.28 (0.55)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0.25 (0.48)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0.20 (0.28)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15</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0.13 (0.42)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0.40 (0.70)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0.53 (0.77)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0.69 (0.60)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0.12 (0.42)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0.21 (0.65)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0.28 (0.68)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0.35 (0.53)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0.08 (0.39)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0.14 (0.53)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0.18 (0.54)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0.37 (0.56)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16</w:t>
            </w:r>
          </w:p>
        </w:tc>
        <w:tc>
          <w:tcPr>
            <w:tcW w:w="1131"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0.01 (0.27)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0.23 (0.50)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0.13 (0.37) </w:t>
            </w:r>
          </w:p>
        </w:tc>
        <w:tc>
          <w:tcPr>
            <w:tcW w:w="1080" w:type="dxa"/>
            <w:tcBorders>
              <w:top w:val="nil"/>
              <w:left w:val="nil"/>
              <w:bottom w:val="nil"/>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0.49 (0.63)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-0.05 (0.15)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0.07 (0.25)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0.12 (0.45) </w:t>
            </w:r>
          </w:p>
        </w:tc>
        <w:tc>
          <w:tcPr>
            <w:tcW w:w="1170" w:type="dxa"/>
            <w:tcBorders>
              <w:top w:val="nil"/>
              <w:left w:val="nil"/>
              <w:bottom w:val="nil"/>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0.26 (0.57) </w:t>
            </w:r>
          </w:p>
        </w:tc>
        <w:tc>
          <w:tcPr>
            <w:tcW w:w="126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-0.11 (-0.10)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0.04 (0.14) </w:t>
            </w:r>
          </w:p>
        </w:tc>
        <w:tc>
          <w:tcPr>
            <w:tcW w:w="126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0.10 (0.31)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0.22 (0.50)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17</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0.34 (0.58)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0.35 (0.58)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0.65 (0.70)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0.21 (0.54)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0.20 (0.46)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0.30 (0.58)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0.29 (0.63)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0.07 (0.44)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0.09 (0.36)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0.26 (0.42)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0.25 (0.49)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0.08 (0.41)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18</w:t>
            </w:r>
          </w:p>
        </w:tc>
        <w:tc>
          <w:tcPr>
            <w:tcW w:w="1131"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0.12 (0.53)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0.17 (0.51)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0.24 (0.58) </w:t>
            </w:r>
          </w:p>
        </w:tc>
        <w:tc>
          <w:tcPr>
            <w:tcW w:w="108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0.34 (0.47)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-0.14 (0.36) </w:t>
            </w:r>
          </w:p>
        </w:tc>
        <w:tc>
          <w:tcPr>
            <w:tcW w:w="108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0.15 (0.49)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0.08 (0.41) </w:t>
            </w:r>
          </w:p>
        </w:tc>
        <w:tc>
          <w:tcPr>
            <w:tcW w:w="1170" w:type="dxa"/>
            <w:tcBorders>
              <w:top w:val="nil"/>
              <w:left w:val="nil"/>
              <w:bottom w:val="nil"/>
              <w:right w:val="single" w:sz="4" w:space="0" w:color="auto"/>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0.22 (0.37)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-0.36 (0.20)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0.17 (0.35) </w:t>
            </w:r>
          </w:p>
        </w:tc>
        <w:tc>
          <w:tcPr>
            <w:tcW w:w="126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0.01 (0.27) </w:t>
            </w:r>
          </w:p>
        </w:tc>
        <w:tc>
          <w:tcPr>
            <w:tcW w:w="1170"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 xml:space="preserve"> 0.25 (0.23)  </w:t>
            </w:r>
          </w:p>
        </w:tc>
      </w:tr>
      <w:tr w:rsidR="00A677F8" w:rsidRPr="00A93C86">
        <w:trPr>
          <w:trHeight w:val="200"/>
        </w:trPr>
        <w:tc>
          <w:tcPr>
            <w:tcW w:w="509" w:type="dxa"/>
            <w:tcBorders>
              <w:top w:val="nil"/>
              <w:left w:val="nil"/>
              <w:bottom w:val="nil"/>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19</w:t>
            </w:r>
          </w:p>
        </w:tc>
        <w:tc>
          <w:tcPr>
            <w:tcW w:w="1131"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0.15 (0.48)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0.36 (0.53)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0.37 (0.59) </w:t>
            </w:r>
          </w:p>
        </w:tc>
        <w:tc>
          <w:tcPr>
            <w:tcW w:w="1080" w:type="dxa"/>
            <w:tcBorders>
              <w:top w:val="nil"/>
              <w:left w:val="nil"/>
              <w:bottom w:val="nil"/>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0.47 (0.45)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0.12 (0.36) </w:t>
            </w:r>
          </w:p>
        </w:tc>
        <w:tc>
          <w:tcPr>
            <w:tcW w:w="108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0.26 (0.49)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0.24 (0.49) </w:t>
            </w:r>
          </w:p>
        </w:tc>
        <w:tc>
          <w:tcPr>
            <w:tcW w:w="1170" w:type="dxa"/>
            <w:tcBorders>
              <w:top w:val="nil"/>
              <w:left w:val="nil"/>
              <w:bottom w:val="nil"/>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0.11 (0.46) </w:t>
            </w:r>
          </w:p>
        </w:tc>
        <w:tc>
          <w:tcPr>
            <w:tcW w:w="126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0.02 (0.25)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0.15 (0.34) </w:t>
            </w:r>
          </w:p>
        </w:tc>
        <w:tc>
          <w:tcPr>
            <w:tcW w:w="126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0.17 (0.35) </w:t>
            </w:r>
          </w:p>
        </w:tc>
        <w:tc>
          <w:tcPr>
            <w:tcW w:w="1170" w:type="dxa"/>
            <w:tcBorders>
              <w:top w:val="nil"/>
              <w:left w:val="nil"/>
              <w:bottom w:val="nil"/>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0.15 (0.43)  </w:t>
            </w:r>
          </w:p>
        </w:tc>
      </w:tr>
      <w:tr w:rsidR="00A677F8" w:rsidRPr="00A93C86">
        <w:trPr>
          <w:trHeight w:val="200"/>
        </w:trPr>
        <w:tc>
          <w:tcPr>
            <w:tcW w:w="509" w:type="dxa"/>
            <w:tcBorders>
              <w:top w:val="nil"/>
              <w:left w:val="nil"/>
              <w:bottom w:val="single" w:sz="4" w:space="0" w:color="auto"/>
              <w:right w:val="nil"/>
            </w:tcBorders>
            <w:shd w:val="clear" w:color="auto" w:fill="auto"/>
            <w:noWrap/>
            <w:vAlign w:val="bottom"/>
          </w:tcPr>
          <w:p w:rsidR="00A93C86" w:rsidRPr="00A93C86" w:rsidRDefault="00A93C86" w:rsidP="00A93C86">
            <w:pPr>
              <w:jc w:val="right"/>
              <w:rPr>
                <w:rFonts w:eastAsia="Times New Roman" w:cs="Times New Roman"/>
                <w:sz w:val="18"/>
                <w:szCs w:val="18"/>
              </w:rPr>
            </w:pPr>
            <w:r w:rsidRPr="00A93C86">
              <w:rPr>
                <w:rFonts w:eastAsia="Times New Roman" w:cs="Times New Roman"/>
                <w:sz w:val="18"/>
                <w:szCs w:val="18"/>
              </w:rPr>
              <w:t>20</w:t>
            </w:r>
          </w:p>
        </w:tc>
        <w:tc>
          <w:tcPr>
            <w:tcW w:w="1131"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0.33 (0.57) </w:t>
            </w:r>
          </w:p>
        </w:tc>
        <w:tc>
          <w:tcPr>
            <w:tcW w:w="108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0.20 (0.17) </w:t>
            </w:r>
          </w:p>
        </w:tc>
        <w:tc>
          <w:tcPr>
            <w:tcW w:w="108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0.18 (0.26) </w:t>
            </w:r>
          </w:p>
        </w:tc>
        <w:tc>
          <w:tcPr>
            <w:tcW w:w="1080" w:type="dxa"/>
            <w:tcBorders>
              <w:top w:val="nil"/>
              <w:left w:val="nil"/>
              <w:bottom w:val="single" w:sz="4" w:space="0" w:color="auto"/>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0.60 (0.58) </w:t>
            </w:r>
          </w:p>
        </w:tc>
        <w:tc>
          <w:tcPr>
            <w:tcW w:w="117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0.12 (0.48) </w:t>
            </w:r>
          </w:p>
        </w:tc>
        <w:tc>
          <w:tcPr>
            <w:tcW w:w="108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0.26 (0.40) </w:t>
            </w:r>
          </w:p>
        </w:tc>
        <w:tc>
          <w:tcPr>
            <w:tcW w:w="117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0.16 (0.16) </w:t>
            </w:r>
          </w:p>
        </w:tc>
        <w:tc>
          <w:tcPr>
            <w:tcW w:w="1170" w:type="dxa"/>
            <w:tcBorders>
              <w:top w:val="nil"/>
              <w:left w:val="nil"/>
              <w:bottom w:val="single" w:sz="4" w:space="0" w:color="auto"/>
              <w:right w:val="single" w:sz="4" w:space="0" w:color="auto"/>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0.39 (0.62) </w:t>
            </w:r>
          </w:p>
        </w:tc>
        <w:tc>
          <w:tcPr>
            <w:tcW w:w="126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0.11 (0.35) </w:t>
            </w:r>
          </w:p>
        </w:tc>
        <w:tc>
          <w:tcPr>
            <w:tcW w:w="117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0.20 (0.32) </w:t>
            </w:r>
          </w:p>
        </w:tc>
        <w:tc>
          <w:tcPr>
            <w:tcW w:w="126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0.10 (-0.14) </w:t>
            </w:r>
          </w:p>
        </w:tc>
        <w:tc>
          <w:tcPr>
            <w:tcW w:w="1170" w:type="dxa"/>
            <w:tcBorders>
              <w:top w:val="nil"/>
              <w:left w:val="nil"/>
              <w:bottom w:val="single" w:sz="4" w:space="0" w:color="auto"/>
              <w:right w:val="nil"/>
            </w:tcBorders>
            <w:shd w:val="clear" w:color="auto" w:fill="auto"/>
            <w:noWrap/>
            <w:vAlign w:val="bottom"/>
          </w:tcPr>
          <w:p w:rsidR="00A93C86" w:rsidRPr="002053D8" w:rsidRDefault="00A93C86" w:rsidP="00A93C86">
            <w:pPr>
              <w:jc w:val="right"/>
              <w:rPr>
                <w:rFonts w:eastAsia="Times New Roman" w:cs="Times New Roman"/>
                <w:b/>
                <w:sz w:val="18"/>
                <w:szCs w:val="18"/>
              </w:rPr>
            </w:pPr>
            <w:r w:rsidRPr="002053D8">
              <w:rPr>
                <w:rFonts w:eastAsia="Times New Roman" w:cs="Times New Roman"/>
                <w:b/>
                <w:sz w:val="18"/>
                <w:szCs w:val="18"/>
              </w:rPr>
              <w:t xml:space="preserve"> 0.25 (0.55) </w:t>
            </w:r>
          </w:p>
        </w:tc>
      </w:tr>
    </w:tbl>
    <w:p w:rsidR="00E35494" w:rsidRPr="00A93C86" w:rsidRDefault="00E35494" w:rsidP="00D733AE">
      <w:pPr>
        <w:spacing w:after="120" w:line="480" w:lineRule="auto"/>
      </w:pPr>
    </w:p>
    <w:p w:rsidR="00F93A32" w:rsidRPr="003F3B3C" w:rsidRDefault="00F93A32" w:rsidP="00D733AE">
      <w:pPr>
        <w:spacing w:after="120" w:line="480" w:lineRule="auto"/>
        <w:sectPr w:rsidR="00F93A32" w:rsidRPr="003F3B3C">
          <w:pgSz w:w="16340" w:h="12240" w:orient="landscape"/>
          <w:pgMar w:top="1177" w:right="1440" w:bottom="1346" w:left="1146" w:gutter="0"/>
          <w:noEndnote/>
          <w:printerSettings r:id="rId33"/>
        </w:sectPr>
      </w:pPr>
    </w:p>
    <w:p w:rsidR="00D733AE" w:rsidRPr="003F3B3C" w:rsidRDefault="00D733AE" w:rsidP="00D733AE">
      <w:pPr>
        <w:spacing w:after="120" w:line="480" w:lineRule="auto"/>
      </w:pPr>
    </w:p>
    <w:p w:rsidR="00D733AE" w:rsidRPr="003F3B3C" w:rsidRDefault="00D733AE" w:rsidP="00D733AE">
      <w:pPr>
        <w:spacing w:line="480" w:lineRule="auto"/>
        <w:jc w:val="center"/>
      </w:pPr>
      <w:r w:rsidRPr="003F3B3C">
        <w:rPr>
          <w:noProof/>
        </w:rPr>
        <w:drawing>
          <wp:inline distT="0" distB="0" distL="0" distR="0">
            <wp:extent cx="5051414" cy="7089140"/>
            <wp:effectExtent l="0" t="0" r="0" b="0"/>
            <wp:docPr id="3" name="Picture 1" descr="box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s.pdf"/>
                    <pic:cNvPicPr/>
                  </pic:nvPicPr>
                  <ve:AlternateContent xmlns:ma="http://schemas.microsoft.com/office/mac/drawingml/2008/main">
                    <ve:Choice Requires="ma">
                      <pic:blipFill>
                        <a:blip r:embed="rId3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35"/>
                        <a:stretch>
                          <a:fillRect/>
                        </a:stretch>
                      </pic:blipFill>
                    </ve:Fallback>
                  </ve:AlternateContent>
                  <pic:spPr>
                    <a:xfrm>
                      <a:off x="0" y="0"/>
                      <a:ext cx="5056719" cy="7096585"/>
                    </a:xfrm>
                    <a:prstGeom prst="rect">
                      <a:avLst/>
                    </a:prstGeom>
                  </pic:spPr>
                </pic:pic>
              </a:graphicData>
            </a:graphic>
          </wp:inline>
        </w:drawing>
      </w:r>
    </w:p>
    <w:p w:rsidR="00D733AE" w:rsidRPr="003F3B3C" w:rsidRDefault="00D733AE" w:rsidP="00BE0A62">
      <w:pPr>
        <w:pStyle w:val="Caption"/>
        <w:widowControl w:val="0"/>
        <w:jc w:val="center"/>
      </w:pPr>
      <w:r w:rsidRPr="003F3B3C">
        <w:t xml:space="preserve">Figure </w:t>
      </w:r>
      <w:r w:rsidR="00AA54AB" w:rsidRPr="003F3B3C">
        <w:fldChar w:fldCharType="begin"/>
      </w:r>
      <w:r w:rsidRPr="003F3B3C">
        <w:instrText xml:space="preserve"> SEQ Figure \* ARABIC </w:instrText>
      </w:r>
      <w:r w:rsidR="00AA54AB" w:rsidRPr="003F3B3C">
        <w:fldChar w:fldCharType="separate"/>
      </w:r>
      <w:r w:rsidR="00890E6B">
        <w:rPr>
          <w:noProof/>
        </w:rPr>
        <w:t>3</w:t>
      </w:r>
      <w:r w:rsidR="00AA54AB" w:rsidRPr="003F3B3C">
        <w:fldChar w:fldCharType="end"/>
      </w:r>
      <w:r w:rsidRPr="003F3B3C">
        <w:t>:</w:t>
      </w:r>
      <w:r w:rsidRPr="003F3B3C">
        <w:rPr>
          <w:rFonts w:cs="URW Palladio L"/>
          <w:szCs w:val="21"/>
        </w:rPr>
        <w:t xml:space="preserve"> Sample ensemble forecasts for (a) Apr1 June </w:t>
      </w:r>
      <w:r w:rsidR="00977BCD">
        <w:rPr>
          <w:rFonts w:cs="URW Palladio L"/>
          <w:szCs w:val="21"/>
        </w:rPr>
        <w:t>fl</w:t>
      </w:r>
      <w:r w:rsidRPr="003F3B3C">
        <w:rPr>
          <w:rFonts w:cs="URW Palladio L"/>
          <w:szCs w:val="21"/>
        </w:rPr>
        <w:t xml:space="preserve">ow at Colorado River Near Cameo, CO, (b) Feb1 June San Rafael River Near Green River, UT and (c) Nov1 July Dolores River Near Cisco, UT. The horizontal lines represent the 33rd and 66th percentiles of the historical </w:t>
      </w:r>
      <w:r w:rsidR="00886374" w:rsidRPr="003F3B3C">
        <w:rPr>
          <w:rFonts w:cs="URW Palladio L"/>
          <w:szCs w:val="21"/>
        </w:rPr>
        <w:t>data;</w:t>
      </w:r>
      <w:r w:rsidRPr="003F3B3C">
        <w:rPr>
          <w:rFonts w:cs="URW Palladio L"/>
          <w:szCs w:val="21"/>
        </w:rPr>
        <w:t xml:space="preserve"> boxplots extend to the 5th and 95th percentiles of each ensemble. MC stands for the median correlation, the correlation of the median of the ensembles </w:t>
      </w:r>
      <w:r w:rsidR="00886374">
        <w:rPr>
          <w:rFonts w:cs="URW Palladio L"/>
          <w:szCs w:val="21"/>
        </w:rPr>
        <w:t>with</w:t>
      </w:r>
      <w:r w:rsidRPr="003F3B3C">
        <w:rPr>
          <w:rFonts w:cs="URW Palladio L"/>
          <w:szCs w:val="21"/>
        </w:rPr>
        <w:t xml:space="preserve"> the historical record.</w:t>
      </w:r>
    </w:p>
    <w:p w:rsidR="003A4631" w:rsidRPr="003F3B3C" w:rsidRDefault="003A4631" w:rsidP="00D733AE">
      <w:pPr>
        <w:spacing w:after="120" w:line="480" w:lineRule="auto"/>
      </w:pPr>
    </w:p>
    <w:p w:rsidR="00890E6B" w:rsidRDefault="00890E6B" w:rsidP="00FB0AA0">
      <w:pPr>
        <w:keepNext/>
        <w:spacing w:after="120" w:line="480" w:lineRule="auto"/>
        <w:jc w:val="center"/>
      </w:pPr>
      <w:r>
        <w:rPr>
          <w:rFonts w:cs="URW Palladio L"/>
          <w:b/>
          <w:bCs/>
          <w:noProof/>
          <w:szCs w:val="23"/>
        </w:rPr>
        <w:drawing>
          <wp:inline distT="0" distB="0" distL="0" distR="0">
            <wp:extent cx="5533743" cy="8003540"/>
            <wp:effectExtent l="25400" t="0" r="3457" b="0"/>
            <wp:docPr id="178" name="Picture 178" descr=":boxplots-retr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boxplots-retro.pdf"/>
                    <pic:cNvPicPr>
                      <a:picLocks noChangeAspect="1" noChangeArrowheads="1"/>
                    </pic:cNvPicPr>
                  </pic:nvPicPr>
                  <ve:AlternateContent>
                    <ve:Choice xmlns:ma="http://schemas.microsoft.com/office/mac/drawingml/2008/main" Requires="ma">
                      <pic:blipFill>
                        <a:blip r:embed="rId36"/>
                        <a:srcRect/>
                        <a:stretch>
                          <a:fillRect/>
                        </a:stretch>
                      </pic:blipFill>
                    </ve:Choice>
                    <ve:Fallback>
                      <pic:blipFill>
                        <a:blip r:embed="rId37"/>
                        <a:srcRect/>
                        <a:stretch>
                          <a:fillRect/>
                        </a:stretch>
                      </pic:blipFill>
                    </ve:Fallback>
                  </ve:AlternateContent>
                  <pic:spPr bwMode="auto">
                    <a:xfrm>
                      <a:off x="0" y="0"/>
                      <a:ext cx="5541591" cy="8014891"/>
                    </a:xfrm>
                    <a:prstGeom prst="rect">
                      <a:avLst/>
                    </a:prstGeom>
                    <a:noFill/>
                    <a:ln w="9525">
                      <a:noFill/>
                      <a:miter lim="800000"/>
                      <a:headEnd/>
                      <a:tailEnd/>
                    </a:ln>
                  </pic:spPr>
                </pic:pic>
              </a:graphicData>
            </a:graphic>
          </wp:inline>
        </w:drawing>
      </w:r>
    </w:p>
    <w:p w:rsidR="00853AB9" w:rsidRPr="003F3B3C" w:rsidRDefault="00890E6B" w:rsidP="00FB0AA0">
      <w:pPr>
        <w:pStyle w:val="Caption"/>
        <w:jc w:val="center"/>
        <w:rPr>
          <w:rFonts w:cs="URW Palladio L"/>
          <w:b/>
          <w:bCs w:val="0"/>
          <w:sz w:val="22"/>
          <w:szCs w:val="23"/>
        </w:rPr>
      </w:pPr>
      <w:bookmarkStart w:id="1" w:name="_Ref156641272"/>
      <w:r>
        <w:t xml:space="preserve">Figure </w:t>
      </w:r>
      <w:fldSimple w:instr=" SEQ Figure \* ARABIC ">
        <w:r>
          <w:rPr>
            <w:noProof/>
          </w:rPr>
          <w:t>4</w:t>
        </w:r>
      </w:fldSimple>
      <w:bookmarkEnd w:id="1"/>
      <w:r>
        <w:t xml:space="preserve">: Same as figure 3 but for June flow at </w:t>
      </w:r>
      <w:r w:rsidRPr="003F3B3C">
        <w:rPr>
          <w:sz w:val="21"/>
          <w:szCs w:val="21"/>
        </w:rPr>
        <w:t>Duchesne River Near Randlett, UT</w:t>
      </w:r>
      <w:r>
        <w:rPr>
          <w:sz w:val="21"/>
          <w:szCs w:val="21"/>
        </w:rPr>
        <w:t xml:space="preserve"> (site 14)</w:t>
      </w:r>
      <w:r w:rsidR="00FB0AA0">
        <w:rPr>
          <w:sz w:val="21"/>
          <w:szCs w:val="21"/>
        </w:rPr>
        <w:t xml:space="preserve"> for (a) Apr1, (b) Jan1 and (c) Nov 1.</w:t>
      </w:r>
    </w:p>
    <w:p w:rsidR="00E34A2F" w:rsidRPr="003F3B3C" w:rsidRDefault="00E34A2F" w:rsidP="00D733AE">
      <w:pPr>
        <w:spacing w:after="120" w:line="480" w:lineRule="auto"/>
        <w:jc w:val="both"/>
        <w:rPr>
          <w:rFonts w:cs="URW Palladio L"/>
          <w:szCs w:val="23"/>
        </w:rPr>
      </w:pPr>
      <w:r w:rsidRPr="003F3B3C">
        <w:rPr>
          <w:rFonts w:cs="URW Palladio L"/>
          <w:b/>
          <w:bCs/>
          <w:szCs w:val="23"/>
        </w:rPr>
        <w:t xml:space="preserve">6 Conclusions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We have shown that the framework of </w:t>
      </w:r>
      <w:r w:rsidRPr="003F3B3C">
        <w:rPr>
          <w:rFonts w:cs="URW Palladio L"/>
          <w:i/>
          <w:iCs/>
          <w:szCs w:val="21"/>
        </w:rPr>
        <w:t xml:space="preserve">Bracken et al. </w:t>
      </w:r>
      <w:r w:rsidRPr="003F3B3C">
        <w:rPr>
          <w:rFonts w:cs="URW Palladio L"/>
          <w:szCs w:val="21"/>
        </w:rPr>
        <w:t xml:space="preserve">(2010) can be extended successfully to twenty sites in the Upper Colorado River Basin. </w:t>
      </w:r>
      <w:r w:rsidR="00A45AF6">
        <w:rPr>
          <w:rFonts w:cs="URW Palladio L"/>
          <w:szCs w:val="21"/>
        </w:rPr>
        <w:t xml:space="preserve">This method is parsimonious and requires very little data input compared to existing physically based forrecast models.  </w:t>
      </w:r>
      <w:r w:rsidRPr="003F3B3C">
        <w:rPr>
          <w:rFonts w:cs="URW Palladio L"/>
          <w:szCs w:val="21"/>
        </w:rPr>
        <w:t xml:space="preserve">We </w:t>
      </w:r>
      <w:r w:rsidR="00A45AF6">
        <w:rPr>
          <w:rFonts w:cs="URW Palladio L"/>
          <w:szCs w:val="21"/>
        </w:rPr>
        <w:t>make slight</w:t>
      </w:r>
      <w:r w:rsidRPr="003F3B3C">
        <w:rPr>
          <w:rFonts w:cs="URW Palladio L"/>
          <w:szCs w:val="21"/>
        </w:rPr>
        <w:t xml:space="preserve"> modi</w:t>
      </w:r>
      <w:r w:rsidR="00977BCD">
        <w:rPr>
          <w:rFonts w:cs="URW Palladio L"/>
          <w:szCs w:val="21"/>
        </w:rPr>
        <w:t>fi</w:t>
      </w:r>
      <w:r w:rsidRPr="003F3B3C">
        <w:rPr>
          <w:rFonts w:cs="URW Palladio L"/>
          <w:szCs w:val="21"/>
        </w:rPr>
        <w:t>cation</w:t>
      </w:r>
      <w:r w:rsidR="00A45AF6">
        <w:rPr>
          <w:rFonts w:cs="URW Palladio L"/>
          <w:szCs w:val="21"/>
        </w:rPr>
        <w:t>s</w:t>
      </w:r>
      <w:r w:rsidRPr="003F3B3C">
        <w:rPr>
          <w:rFonts w:cs="URW Palladio L"/>
          <w:szCs w:val="21"/>
        </w:rPr>
        <w:t xml:space="preserve"> to the method including incor</w:t>
      </w:r>
      <w:r w:rsidRPr="003F3B3C">
        <w:rPr>
          <w:rFonts w:cs="URW Palladio L"/>
          <w:szCs w:val="21"/>
        </w:rPr>
        <w:softHyphen/>
        <w:t xml:space="preserve">porating the disaggregation method of </w:t>
      </w:r>
      <w:r w:rsidRPr="003F3B3C">
        <w:rPr>
          <w:rFonts w:cs="URW Palladio L"/>
          <w:i/>
          <w:iCs/>
          <w:szCs w:val="21"/>
        </w:rPr>
        <w:t xml:space="preserve">Nowak et al. </w:t>
      </w:r>
      <w:r w:rsidRPr="003F3B3C">
        <w:rPr>
          <w:rFonts w:cs="URW Palladio L"/>
          <w:szCs w:val="21"/>
        </w:rPr>
        <w:t>(2010). The modi</w:t>
      </w:r>
      <w:r w:rsidR="00977BCD">
        <w:rPr>
          <w:rFonts w:cs="URW Palladio L"/>
          <w:szCs w:val="21"/>
        </w:rPr>
        <w:t>fi</w:t>
      </w:r>
      <w:r w:rsidRPr="003F3B3C">
        <w:rPr>
          <w:rFonts w:cs="URW Palladio L"/>
          <w:szCs w:val="21"/>
        </w:rPr>
        <w:t>cations and the incorpora</w:t>
      </w:r>
      <w:r w:rsidRPr="003F3B3C">
        <w:rPr>
          <w:rFonts w:cs="URW Palladio L"/>
          <w:szCs w:val="21"/>
        </w:rPr>
        <w:softHyphen/>
        <w:t xml:space="preserve">tion of the most recent data caused out results to differ slightly but not notably from the original method.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To a large extent the skills are </w:t>
      </w:r>
      <w:r w:rsidR="00886374" w:rsidRPr="003F3B3C">
        <w:rPr>
          <w:rFonts w:cs="URW Palladio L"/>
          <w:szCs w:val="21"/>
        </w:rPr>
        <w:t>positive</w:t>
      </w:r>
      <w:r w:rsidRPr="003F3B3C">
        <w:rPr>
          <w:rFonts w:cs="URW Palladio L"/>
          <w:szCs w:val="21"/>
        </w:rPr>
        <w:t xml:space="preserve"> even after spatial and temporal disaggregation. We see a degradation of the skill as lead time increases which is to be expected. June has the highest predictability because that is the peak </w:t>
      </w:r>
      <w:r w:rsidR="00977BCD">
        <w:rPr>
          <w:rFonts w:cs="URW Palladio L"/>
          <w:szCs w:val="21"/>
        </w:rPr>
        <w:t>fl</w:t>
      </w:r>
      <w:r w:rsidRPr="003F3B3C">
        <w:rPr>
          <w:rFonts w:cs="URW Palladio L"/>
          <w:szCs w:val="21"/>
        </w:rPr>
        <w:t xml:space="preserve">ow month in the UCRB on average. We also see that larger tributaries tend to have higher skill. </w:t>
      </w:r>
      <w:r w:rsidR="002053D8">
        <w:rPr>
          <w:rFonts w:cs="URW Palladio L"/>
          <w:szCs w:val="21"/>
        </w:rPr>
        <w:t xml:space="preserve">While individual sites do show negative skills, taken as a whole, we see a vast improvement over climatology. </w:t>
      </w:r>
      <w:r w:rsidR="00A45AF6">
        <w:rPr>
          <w:rFonts w:cs="URW Palladio L"/>
          <w:szCs w:val="21"/>
        </w:rPr>
        <w:t xml:space="preserve">  Even greater improvement in skill could likely be gained by combining this method with existing forecasts such as the CBRFC corrdinated forecast.</w:t>
      </w:r>
    </w:p>
    <w:p w:rsidR="00F93A32" w:rsidRPr="003F3B3C" w:rsidRDefault="00E34A2F" w:rsidP="00F93A32">
      <w:pPr>
        <w:spacing w:after="120" w:line="480" w:lineRule="auto"/>
        <w:jc w:val="both"/>
        <w:rPr>
          <w:rFonts w:cs="URW Palladio L"/>
          <w:szCs w:val="21"/>
        </w:rPr>
      </w:pPr>
      <w:r w:rsidRPr="003F3B3C">
        <w:rPr>
          <w:rFonts w:cs="URW Palladio L"/>
          <w:szCs w:val="21"/>
        </w:rPr>
        <w:t xml:space="preserve">The only remaining step to make these </w:t>
      </w:r>
      <w:r w:rsidR="00886374" w:rsidRPr="003F3B3C">
        <w:rPr>
          <w:rFonts w:cs="URW Palladio L"/>
          <w:szCs w:val="21"/>
        </w:rPr>
        <w:t>forecasts</w:t>
      </w:r>
      <w:r w:rsidRPr="003F3B3C">
        <w:rPr>
          <w:rFonts w:cs="URW Palladio L"/>
          <w:szCs w:val="21"/>
        </w:rPr>
        <w:t xml:space="preserve"> </w:t>
      </w:r>
      <w:r w:rsidR="00886374" w:rsidRPr="003F3B3C">
        <w:rPr>
          <w:rFonts w:cs="URW Palladio L"/>
          <w:szCs w:val="21"/>
        </w:rPr>
        <w:t>truly</w:t>
      </w:r>
      <w:r w:rsidRPr="003F3B3C">
        <w:rPr>
          <w:rFonts w:cs="URW Palladio L"/>
          <w:szCs w:val="21"/>
        </w:rPr>
        <w:t xml:space="preserve"> useful would be to provide them as un</w:t>
      </w:r>
      <w:r w:rsidRPr="003F3B3C">
        <w:rPr>
          <w:rFonts w:cs="URW Palladio L"/>
          <w:szCs w:val="21"/>
        </w:rPr>
        <w:softHyphen/>
        <w:t xml:space="preserve">regulated </w:t>
      </w:r>
      <w:r w:rsidR="00977BCD">
        <w:rPr>
          <w:rFonts w:cs="URW Palladio L"/>
          <w:szCs w:val="21"/>
        </w:rPr>
        <w:t>fl</w:t>
      </w:r>
      <w:r w:rsidRPr="003F3B3C">
        <w:rPr>
          <w:rFonts w:cs="URW Palladio L"/>
          <w:szCs w:val="21"/>
        </w:rPr>
        <w:t xml:space="preserve">ow. The 24-Month Study takes input as unregulated </w:t>
      </w:r>
      <w:r w:rsidR="00977BCD">
        <w:rPr>
          <w:rFonts w:cs="URW Palladio L"/>
          <w:szCs w:val="21"/>
        </w:rPr>
        <w:t>fl</w:t>
      </w:r>
      <w:r w:rsidRPr="003F3B3C">
        <w:rPr>
          <w:rFonts w:cs="URW Palladio L"/>
          <w:szCs w:val="21"/>
        </w:rPr>
        <w:t xml:space="preserve">ow to avoid explicitly modeling demands. In many cases this is as simple as </w:t>
      </w:r>
      <w:r w:rsidR="00886374" w:rsidRPr="003F3B3C">
        <w:rPr>
          <w:rFonts w:cs="URW Palladio L"/>
          <w:szCs w:val="21"/>
        </w:rPr>
        <w:t>subtracting</w:t>
      </w:r>
      <w:r w:rsidRPr="003F3B3C">
        <w:rPr>
          <w:rFonts w:cs="URW Palladio L"/>
          <w:szCs w:val="21"/>
        </w:rPr>
        <w:t xml:space="preserve"> a constant but in others it requires intimate knowledge of regional </w:t>
      </w:r>
      <w:r w:rsidR="00886374" w:rsidRPr="003F3B3C">
        <w:rPr>
          <w:rFonts w:cs="URW Palladio L"/>
          <w:szCs w:val="21"/>
        </w:rPr>
        <w:t>consumptive</w:t>
      </w:r>
      <w:r w:rsidRPr="003F3B3C">
        <w:rPr>
          <w:rFonts w:cs="URW Palladio L"/>
          <w:szCs w:val="21"/>
        </w:rPr>
        <w:t xml:space="preserve"> use.</w:t>
      </w:r>
      <w:r w:rsidR="00A45AF6">
        <w:rPr>
          <w:rFonts w:cs="URW Palladio L"/>
          <w:szCs w:val="21"/>
        </w:rPr>
        <w:t xml:space="preserve">  Using these forecasts as input to a decision model, the operational impacts of improved forcasts could be assesed.  </w:t>
      </w:r>
    </w:p>
    <w:p w:rsidR="00F93A32" w:rsidRPr="003F3B3C" w:rsidRDefault="00F93A32" w:rsidP="00F93A32"/>
    <w:p w:rsidR="00E34A2F" w:rsidRPr="003F3B3C" w:rsidRDefault="00E34A2F" w:rsidP="00F93A32">
      <w:pPr>
        <w:sectPr w:rsidR="00E34A2F" w:rsidRPr="003F3B3C">
          <w:pgSz w:w="12240" w:h="16340"/>
          <w:pgMar w:top="1146" w:right="1177" w:bottom="1440" w:left="1346" w:gutter="0"/>
          <w:noEndnote/>
          <w:printerSettings r:id="rId38"/>
        </w:sectPr>
      </w:pPr>
    </w:p>
    <w:p w:rsidR="00F93A32" w:rsidRPr="003F3B3C" w:rsidRDefault="00F93A32" w:rsidP="00F93A32">
      <w:pPr>
        <w:spacing w:after="120" w:line="480" w:lineRule="auto"/>
        <w:jc w:val="both"/>
        <w:rPr>
          <w:b/>
          <w:szCs w:val="21"/>
        </w:rPr>
      </w:pPr>
      <w:r w:rsidRPr="003F3B3C">
        <w:rPr>
          <w:b/>
          <w:szCs w:val="21"/>
        </w:rPr>
        <w:t>References</w:t>
      </w:r>
    </w:p>
    <w:p w:rsidR="00E34A2F" w:rsidRPr="003F3B3C" w:rsidRDefault="00E34A2F" w:rsidP="00F93A32">
      <w:pPr>
        <w:spacing w:after="120" w:line="480" w:lineRule="auto"/>
        <w:jc w:val="both"/>
        <w:rPr>
          <w:szCs w:val="21"/>
        </w:rPr>
      </w:pPr>
      <w:r w:rsidRPr="003F3B3C">
        <w:rPr>
          <w:szCs w:val="21"/>
        </w:rPr>
        <w:t>Bracken, C., B. Rajagopalan, and J. Prairie (2010), A multisite seasonal ensemble stream</w:t>
      </w:r>
      <w:r w:rsidR="00977BCD">
        <w:rPr>
          <w:szCs w:val="21"/>
        </w:rPr>
        <w:t>fl</w:t>
      </w:r>
      <w:r w:rsidRPr="003F3B3C">
        <w:rPr>
          <w:szCs w:val="21"/>
        </w:rPr>
        <w:t>ow fore</w:t>
      </w:r>
      <w:r w:rsidRPr="003F3B3C">
        <w:rPr>
          <w:szCs w:val="21"/>
        </w:rPr>
        <w:softHyphen/>
        <w:t xml:space="preserve">casting technique, </w:t>
      </w:r>
      <w:r w:rsidRPr="003F3B3C">
        <w:rPr>
          <w:i/>
          <w:iCs/>
          <w:szCs w:val="21"/>
        </w:rPr>
        <w:t>Water Resour. Res</w:t>
      </w:r>
      <w:r w:rsidRPr="003F3B3C">
        <w:rPr>
          <w:szCs w:val="21"/>
        </w:rPr>
        <w:t xml:space="preserve">, </w:t>
      </w:r>
      <w:r w:rsidRPr="003F3B3C">
        <w:rPr>
          <w:i/>
          <w:iCs/>
          <w:szCs w:val="21"/>
        </w:rPr>
        <w:t>46</w:t>
      </w:r>
      <w:r w:rsidRPr="003F3B3C">
        <w:rPr>
          <w:szCs w:val="21"/>
        </w:rPr>
        <w:t xml:space="preserve">(3), W03,532, doi:10.1029/2009WR007965.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Craven, P., and G. Wahba (1979), Smoothing noisy data with spline functions: estimating the cor</w:t>
      </w:r>
      <w:r w:rsidRPr="003F3B3C">
        <w:rPr>
          <w:rFonts w:cs="URW Palladio L"/>
          <w:szCs w:val="21"/>
        </w:rPr>
        <w:softHyphen/>
        <w:t xml:space="preserve">rect degree of smoothing by the method of generalized cross-validation, </w:t>
      </w:r>
      <w:r w:rsidRPr="003F3B3C">
        <w:rPr>
          <w:rFonts w:cs="URW Palladio L"/>
          <w:i/>
          <w:iCs/>
          <w:szCs w:val="21"/>
        </w:rPr>
        <w:t>Numerical Mathematics</w:t>
      </w:r>
      <w:r w:rsidRPr="003F3B3C">
        <w:rPr>
          <w:rFonts w:cs="URW Palladio L"/>
          <w:szCs w:val="21"/>
        </w:rPr>
        <w:t xml:space="preserve">, </w:t>
      </w:r>
      <w:r w:rsidRPr="003F3B3C">
        <w:rPr>
          <w:rFonts w:cs="URW Palladio L"/>
          <w:i/>
          <w:iCs/>
          <w:szCs w:val="21"/>
        </w:rPr>
        <w:t>31</w:t>
      </w:r>
      <w:r w:rsidRPr="003F3B3C">
        <w:rPr>
          <w:rFonts w:cs="URW Palladio L"/>
          <w:szCs w:val="21"/>
        </w:rPr>
        <w:t xml:space="preserve">, 377–403.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Fulp, T. (2005), How low can it go, </w:t>
      </w:r>
      <w:r w:rsidRPr="003F3B3C">
        <w:rPr>
          <w:rFonts w:cs="URW Palladio L"/>
          <w:i/>
          <w:iCs/>
          <w:szCs w:val="21"/>
        </w:rPr>
        <w:t>Southwest Hydrology</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Grantz, K., B. Rajagopalan, M. Clark, and E. Zagona (2005), A technique for incorporating large-scale climate information in basin-scale ensemble stream</w:t>
      </w:r>
      <w:r w:rsidR="00977BCD">
        <w:rPr>
          <w:rFonts w:cs="URW Palladio L"/>
          <w:szCs w:val="21"/>
        </w:rPr>
        <w:t>fl</w:t>
      </w:r>
      <w:r w:rsidRPr="003F3B3C">
        <w:rPr>
          <w:rFonts w:cs="URW Palladio L"/>
          <w:szCs w:val="21"/>
        </w:rPr>
        <w:t xml:space="preserve">ow forecasts, </w:t>
      </w:r>
      <w:r w:rsidRPr="003F3B3C">
        <w:rPr>
          <w:rFonts w:cs="URW Palladio L"/>
          <w:i/>
          <w:iCs/>
          <w:szCs w:val="21"/>
        </w:rPr>
        <w:t>Water Resour. Res</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Hagedorn, R., F. J. Doblas-Reyes, and T. N. Palmer (2005), The rationale behind the success of multi-model ensembles in seasonal forecasting. part i: Basic concept, </w:t>
      </w:r>
      <w:r w:rsidRPr="003F3B3C">
        <w:rPr>
          <w:rFonts w:cs="URW Palladio L"/>
          <w:i/>
          <w:iCs/>
          <w:szCs w:val="21"/>
        </w:rPr>
        <w:t>Tellus, Ser. A</w:t>
      </w:r>
      <w:r w:rsidRPr="003F3B3C">
        <w:rPr>
          <w:rFonts w:cs="URW Palladio L"/>
          <w:szCs w:val="21"/>
        </w:rPr>
        <w:t xml:space="preserve">, </w:t>
      </w:r>
      <w:r w:rsidRPr="003F3B3C">
        <w:rPr>
          <w:rFonts w:cs="URW Palladio L"/>
          <w:i/>
          <w:iCs/>
          <w:szCs w:val="21"/>
        </w:rPr>
        <w:t>57</w:t>
      </w:r>
      <w:r w:rsidRPr="003F3B3C">
        <w:rPr>
          <w:rFonts w:cs="URW Palladio L"/>
          <w:szCs w:val="21"/>
        </w:rPr>
        <w:t xml:space="preserve">, 219–233.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Krishnamurti, T. N., C. M. Kishtawal, Z. Zhang, T. E. LaRow, D. R. Bachiochi, C. E. Williford, </w:t>
      </w:r>
    </w:p>
    <w:p w:rsidR="00E34A2F" w:rsidRPr="003F3B3C" w:rsidRDefault="00E34A2F" w:rsidP="00D733AE">
      <w:pPr>
        <w:spacing w:after="120" w:line="480" w:lineRule="auto"/>
        <w:ind w:left="217"/>
        <w:jc w:val="both"/>
        <w:rPr>
          <w:rFonts w:cs="URW Palladio L"/>
          <w:szCs w:val="21"/>
        </w:rPr>
      </w:pPr>
      <w:r w:rsidRPr="003F3B3C">
        <w:rPr>
          <w:rFonts w:cs="URW Palladio L"/>
          <w:szCs w:val="21"/>
        </w:rPr>
        <w:t xml:space="preserve">S. Gadgil, and S. Surendran (2000), Multimodel ensemble forecasts for weather and seasonal climate, </w:t>
      </w:r>
      <w:r w:rsidRPr="003F3B3C">
        <w:rPr>
          <w:rFonts w:cs="URW Palladio L"/>
          <w:i/>
          <w:iCs/>
          <w:szCs w:val="21"/>
        </w:rPr>
        <w:t>Journal of Climatology</w:t>
      </w:r>
      <w:r w:rsidRPr="003F3B3C">
        <w:rPr>
          <w:rFonts w:cs="URW Palladio L"/>
          <w:szCs w:val="21"/>
        </w:rPr>
        <w:t xml:space="preserve">, </w:t>
      </w:r>
      <w:r w:rsidRPr="003F3B3C">
        <w:rPr>
          <w:rFonts w:cs="URW Palladio L"/>
          <w:i/>
          <w:iCs/>
          <w:szCs w:val="21"/>
        </w:rPr>
        <w:t>13</w:t>
      </w:r>
      <w:r w:rsidRPr="003F3B3C">
        <w:rPr>
          <w:rFonts w:cs="URW Palladio L"/>
          <w:szCs w:val="21"/>
        </w:rPr>
        <w:t xml:space="preserve">, 4196–4216. </w:t>
      </w:r>
    </w:p>
    <w:p w:rsidR="00E34A2F" w:rsidRPr="003F3B3C" w:rsidRDefault="00E34A2F" w:rsidP="00D733AE">
      <w:pPr>
        <w:spacing w:after="120" w:line="480" w:lineRule="auto"/>
        <w:jc w:val="both"/>
        <w:rPr>
          <w:rFonts w:cs="URW Palladio L"/>
          <w:szCs w:val="21"/>
        </w:rPr>
      </w:pPr>
      <w:r w:rsidRPr="003F3B3C">
        <w:rPr>
          <w:rFonts w:cs="URW Palladio L"/>
          <w:szCs w:val="21"/>
        </w:rPr>
        <w:t xml:space="preserve">Loader, C. (1999), </w:t>
      </w:r>
      <w:r w:rsidRPr="003F3B3C">
        <w:rPr>
          <w:rFonts w:cs="URW Palladio L"/>
          <w:i/>
          <w:iCs/>
          <w:szCs w:val="21"/>
        </w:rPr>
        <w:t>Local Regression and Liklihood</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Moradkhani, H. (2010), Long-lead water supply forecast using large-scale climate predictors and independent component analysis, </w:t>
      </w:r>
      <w:r w:rsidRPr="003F3B3C">
        <w:rPr>
          <w:rFonts w:cs="URW Palladio L"/>
          <w:i/>
          <w:iCs/>
          <w:szCs w:val="21"/>
        </w:rPr>
        <w:t>Journal of Hydrologic Engineering</w:t>
      </w:r>
      <w:r w:rsidRPr="003F3B3C">
        <w:rPr>
          <w:rFonts w:cs="URW Palladio L"/>
          <w:szCs w:val="21"/>
        </w:rPr>
        <w:t xml:space="preserve">.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Nowak, K., J. Prairie, B. Rajagopalan, and U. Lall (2010), A nonparametric stochastic approach for multisite disaggregation of annual to daily stream</w:t>
      </w:r>
      <w:r w:rsidR="00977BCD">
        <w:rPr>
          <w:rFonts w:cs="URW Palladio L"/>
          <w:szCs w:val="21"/>
        </w:rPr>
        <w:t>fl</w:t>
      </w:r>
      <w:r w:rsidRPr="003F3B3C">
        <w:rPr>
          <w:rFonts w:cs="URW Palladio L"/>
          <w:szCs w:val="21"/>
        </w:rPr>
        <w:t xml:space="preserve">ow, </w:t>
      </w:r>
      <w:r w:rsidRPr="003F3B3C">
        <w:rPr>
          <w:rFonts w:cs="URW Palladio L"/>
          <w:i/>
          <w:iCs/>
          <w:szCs w:val="21"/>
        </w:rPr>
        <w:t>Water Resour. Res</w:t>
      </w:r>
      <w:r w:rsidRPr="003F3B3C">
        <w:rPr>
          <w:rFonts w:cs="URW Palladio L"/>
          <w:szCs w:val="21"/>
        </w:rPr>
        <w:t xml:space="preserve">, </w:t>
      </w:r>
      <w:r w:rsidRPr="003F3B3C">
        <w:rPr>
          <w:rFonts w:cs="URW Palladio L"/>
          <w:i/>
          <w:iCs/>
          <w:szCs w:val="21"/>
        </w:rPr>
        <w:t>46</w:t>
      </w:r>
      <w:r w:rsidRPr="003F3B3C">
        <w:rPr>
          <w:rFonts w:cs="URW Palladio L"/>
          <w:szCs w:val="21"/>
        </w:rPr>
        <w:t xml:space="preserve">(8), W08,529, doi:10.1029/2009WR008530.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Opitz-Stapleton, S., S. Gangopadhyay, and B. Rajagopalan (2007), Generating stream</w:t>
      </w:r>
      <w:r w:rsidR="00977BCD">
        <w:rPr>
          <w:rFonts w:cs="URW Palladio L"/>
          <w:szCs w:val="21"/>
        </w:rPr>
        <w:t>fl</w:t>
      </w:r>
      <w:r w:rsidRPr="003F3B3C">
        <w:rPr>
          <w:rFonts w:cs="URW Palladio L"/>
          <w:szCs w:val="21"/>
        </w:rPr>
        <w:t xml:space="preserve">ow forecasts for the yakima river basin using large-scale climate predictors, </w:t>
      </w:r>
      <w:r w:rsidRPr="003F3B3C">
        <w:rPr>
          <w:rFonts w:cs="URW Palladio L"/>
          <w:i/>
          <w:iCs/>
          <w:szCs w:val="21"/>
        </w:rPr>
        <w:t>Journal of Hydrology</w:t>
      </w:r>
      <w:r w:rsidRPr="003F3B3C">
        <w:rPr>
          <w:rFonts w:cs="URW Palladio L"/>
          <w:szCs w:val="21"/>
        </w:rPr>
        <w:t xml:space="preserve">, </w:t>
      </w:r>
      <w:r w:rsidRPr="003F3B3C">
        <w:rPr>
          <w:rFonts w:cs="URW Palladio L"/>
          <w:i/>
          <w:iCs/>
          <w:szCs w:val="21"/>
        </w:rPr>
        <w:t>341</w:t>
      </w:r>
      <w:r w:rsidRPr="003F3B3C">
        <w:rPr>
          <w:rFonts w:cs="URW Palladio L"/>
          <w:szCs w:val="21"/>
        </w:rPr>
        <w:t xml:space="preserve">, 131–143.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Prairie, J., B. Rajagopalan, U. Lall, and T. Fulp (2007), A stochastic nonparametric tech</w:t>
      </w:r>
      <w:r w:rsidRPr="003F3B3C">
        <w:rPr>
          <w:rFonts w:cs="URW Palladio L"/>
          <w:szCs w:val="21"/>
        </w:rPr>
        <w:softHyphen/>
        <w:t>nique for space-time disaggregation of stream</w:t>
      </w:r>
      <w:r w:rsidR="00977BCD">
        <w:rPr>
          <w:rFonts w:cs="URW Palladio L"/>
          <w:szCs w:val="21"/>
        </w:rPr>
        <w:t>fl</w:t>
      </w:r>
      <w:r w:rsidRPr="003F3B3C">
        <w:rPr>
          <w:rFonts w:cs="URW Palladio L"/>
          <w:szCs w:val="21"/>
        </w:rPr>
        <w:t xml:space="preserve">ows, </w:t>
      </w:r>
      <w:r w:rsidRPr="003F3B3C">
        <w:rPr>
          <w:rFonts w:cs="URW Palladio L"/>
          <w:i/>
          <w:iCs/>
          <w:szCs w:val="21"/>
        </w:rPr>
        <w:t>Water Resour. Res</w:t>
      </w:r>
      <w:r w:rsidRPr="003F3B3C">
        <w:rPr>
          <w:rFonts w:cs="URW Palladio L"/>
          <w:szCs w:val="21"/>
        </w:rPr>
        <w:t xml:space="preserve">, </w:t>
      </w:r>
      <w:r w:rsidRPr="003F3B3C">
        <w:rPr>
          <w:rFonts w:cs="URW Palladio L"/>
          <w:i/>
          <w:iCs/>
          <w:szCs w:val="21"/>
        </w:rPr>
        <w:t>43</w:t>
      </w:r>
      <w:r w:rsidRPr="003F3B3C">
        <w:rPr>
          <w:rFonts w:cs="URW Palladio L"/>
          <w:szCs w:val="21"/>
        </w:rPr>
        <w:t xml:space="preserve">, 1–10, doi:10.1029/ 2005WR004721.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Rajagopalan, B., U. Lall, and S. Zebiak (2002), Optimal categorical climate forecasts through mul</w:t>
      </w:r>
      <w:r w:rsidRPr="003F3B3C">
        <w:rPr>
          <w:rFonts w:cs="URW Palladio L"/>
          <w:szCs w:val="21"/>
        </w:rPr>
        <w:softHyphen/>
        <w:t xml:space="preserve">tiple gcm ensemble combination and regularization, </w:t>
      </w:r>
      <w:r w:rsidRPr="003F3B3C">
        <w:rPr>
          <w:rFonts w:cs="URW Palladio L"/>
          <w:i/>
          <w:iCs/>
          <w:szCs w:val="21"/>
        </w:rPr>
        <w:t>Monthly Weather Review</w:t>
      </w:r>
      <w:r w:rsidRPr="003F3B3C">
        <w:rPr>
          <w:rFonts w:cs="URW Palladio L"/>
          <w:szCs w:val="21"/>
        </w:rPr>
        <w:t xml:space="preserve">, </w:t>
      </w:r>
      <w:r w:rsidRPr="003F3B3C">
        <w:rPr>
          <w:rFonts w:cs="URW Palladio L"/>
          <w:i/>
          <w:iCs/>
          <w:szCs w:val="21"/>
        </w:rPr>
        <w:t>130</w:t>
      </w:r>
      <w:r w:rsidRPr="003F3B3C">
        <w:rPr>
          <w:rFonts w:cs="URW Palladio L"/>
          <w:szCs w:val="21"/>
        </w:rPr>
        <w:t xml:space="preserve">, 1792–1811.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Rajagopalan, B., K. Nowak, J. Prairie, M. Hoerling, B. Harding, J. Barsugli, A. Ray, and B. Udall (2009), Water supply risk on the colorado river: Can management mitigate, </w:t>
      </w:r>
      <w:r w:rsidRPr="003F3B3C">
        <w:rPr>
          <w:rFonts w:cs="URW Palladio L"/>
          <w:i/>
          <w:iCs/>
          <w:szCs w:val="21"/>
        </w:rPr>
        <w:t>Water Resour. Res</w:t>
      </w:r>
      <w:r w:rsidRPr="003F3B3C">
        <w:rPr>
          <w:rFonts w:cs="URW Palladio L"/>
          <w:szCs w:val="21"/>
        </w:rPr>
        <w:t xml:space="preserve">, </w:t>
      </w:r>
      <w:r w:rsidRPr="003F3B3C">
        <w:rPr>
          <w:rFonts w:cs="URW Palladio L"/>
          <w:i/>
          <w:iCs/>
          <w:szCs w:val="21"/>
        </w:rPr>
        <w:t>45</w:t>
      </w:r>
      <w:r w:rsidRPr="003F3B3C">
        <w:rPr>
          <w:rFonts w:cs="URW Palladio L"/>
          <w:szCs w:val="21"/>
        </w:rPr>
        <w:t xml:space="preserve">(8), W08,201.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Regonda, S. K., B. Rajagopalan, M. Clark, and E. Zagona (2006), A multimodel ensemble forecast framework: Application to spring seasonal </w:t>
      </w:r>
      <w:r w:rsidR="00977BCD">
        <w:rPr>
          <w:rFonts w:cs="URW Palladio L"/>
          <w:szCs w:val="21"/>
        </w:rPr>
        <w:t>fl</w:t>
      </w:r>
      <w:r w:rsidRPr="003F3B3C">
        <w:rPr>
          <w:rFonts w:cs="URW Palladio L"/>
          <w:szCs w:val="21"/>
        </w:rPr>
        <w:t xml:space="preserve">ows in the </w:t>
      </w:r>
      <w:r w:rsidR="00886374" w:rsidRPr="003F3B3C">
        <w:rPr>
          <w:rFonts w:cs="URW Palladio L"/>
          <w:szCs w:val="21"/>
        </w:rPr>
        <w:t>Gunnison</w:t>
      </w:r>
      <w:r w:rsidRPr="003F3B3C">
        <w:rPr>
          <w:rFonts w:cs="URW Palladio L"/>
          <w:szCs w:val="21"/>
        </w:rPr>
        <w:t xml:space="preserve"> river basin, </w:t>
      </w:r>
      <w:r w:rsidRPr="003F3B3C">
        <w:rPr>
          <w:rFonts w:cs="URW Palladio L"/>
          <w:i/>
          <w:iCs/>
          <w:szCs w:val="21"/>
        </w:rPr>
        <w:t>Water Resour. Res</w:t>
      </w:r>
      <w:r w:rsidRPr="003F3B3C">
        <w:rPr>
          <w:rFonts w:cs="URW Palladio L"/>
          <w:szCs w:val="21"/>
        </w:rPr>
        <w:t xml:space="preserve">, </w:t>
      </w:r>
    </w:p>
    <w:p w:rsidR="00E34A2F" w:rsidRPr="003F3B3C" w:rsidRDefault="00E34A2F" w:rsidP="00D733AE">
      <w:pPr>
        <w:spacing w:after="120" w:line="480" w:lineRule="auto"/>
        <w:ind w:firstLine="217"/>
        <w:jc w:val="both"/>
        <w:rPr>
          <w:rFonts w:cs="URW Palladio L"/>
          <w:szCs w:val="21"/>
        </w:rPr>
      </w:pPr>
      <w:r w:rsidRPr="003F3B3C">
        <w:rPr>
          <w:rFonts w:cs="URW Palladio L"/>
          <w:i/>
          <w:iCs/>
          <w:szCs w:val="21"/>
        </w:rPr>
        <w:t>42</w:t>
      </w:r>
      <w:r w:rsidRPr="003F3B3C">
        <w:rPr>
          <w:rFonts w:cs="URW Palladio L"/>
          <w:szCs w:val="21"/>
        </w:rPr>
        <w:t xml:space="preserve">. </w:t>
      </w:r>
    </w:p>
    <w:p w:rsidR="00E34A2F" w:rsidRPr="003F3B3C" w:rsidRDefault="00886374" w:rsidP="00D733AE">
      <w:pPr>
        <w:spacing w:after="120" w:line="480" w:lineRule="auto"/>
        <w:ind w:left="217" w:hanging="218"/>
        <w:jc w:val="both"/>
        <w:rPr>
          <w:rFonts w:cs="URW Palladio L"/>
          <w:szCs w:val="21"/>
        </w:rPr>
      </w:pPr>
      <w:r w:rsidRPr="003F3B3C">
        <w:rPr>
          <w:rFonts w:cs="URW Palladio L"/>
          <w:szCs w:val="21"/>
        </w:rPr>
        <w:t>US Department of the Interior, U. (2007), F</w:t>
      </w:r>
      <w:r>
        <w:rPr>
          <w:rFonts w:cs="URW Palladio L"/>
          <w:szCs w:val="21"/>
        </w:rPr>
        <w:t>inal environmental impact state</w:t>
      </w:r>
      <w:r w:rsidRPr="003F3B3C">
        <w:rPr>
          <w:rFonts w:cs="URW Palladio L"/>
          <w:szCs w:val="21"/>
        </w:rPr>
        <w:t xml:space="preserve">ment Colorado river interim guidelines for lower basin shortages and coordinated operations for lakes Powell and mead, </w:t>
      </w:r>
      <w:r w:rsidRPr="003F3B3C">
        <w:rPr>
          <w:rFonts w:cs="URW Palladio L"/>
          <w:i/>
          <w:iCs/>
          <w:szCs w:val="21"/>
        </w:rPr>
        <w:t xml:space="preserve">Bureau of Reclamation, Boulder City, Nev. </w:t>
      </w:r>
    </w:p>
    <w:p w:rsidR="00E34A2F" w:rsidRPr="003F3B3C" w:rsidRDefault="00E34A2F" w:rsidP="00D733AE">
      <w:pPr>
        <w:spacing w:after="120" w:line="480" w:lineRule="auto"/>
        <w:ind w:left="217" w:hanging="218"/>
        <w:jc w:val="both"/>
        <w:rPr>
          <w:rFonts w:cs="URW Palladio L"/>
          <w:szCs w:val="21"/>
        </w:rPr>
      </w:pPr>
      <w:r w:rsidRPr="003F3B3C">
        <w:rPr>
          <w:rFonts w:cs="URW Palladio L"/>
          <w:szCs w:val="21"/>
        </w:rPr>
        <w:t xml:space="preserve">US Department of the Interior, U. (2008), Upper </w:t>
      </w:r>
      <w:r w:rsidR="00886374" w:rsidRPr="003F3B3C">
        <w:rPr>
          <w:rFonts w:cs="URW Palladio L"/>
          <w:szCs w:val="21"/>
        </w:rPr>
        <w:t>Colorado</w:t>
      </w:r>
      <w:r w:rsidRPr="003F3B3C">
        <w:rPr>
          <w:rFonts w:cs="URW Palladio L"/>
          <w:szCs w:val="21"/>
        </w:rPr>
        <w:t xml:space="preserve"> river basin consumptive uses and losses report: 2006–2010 (provisional), </w:t>
      </w:r>
      <w:r w:rsidRPr="003F3B3C">
        <w:rPr>
          <w:rFonts w:cs="URW Palladio L"/>
          <w:i/>
          <w:iCs/>
          <w:szCs w:val="21"/>
        </w:rPr>
        <w:t>Bur. of Reclam., Salt Lake City, UT</w:t>
      </w:r>
      <w:r w:rsidRPr="003F3B3C">
        <w:rPr>
          <w:rFonts w:cs="URW Palladio L"/>
          <w:szCs w:val="21"/>
        </w:rPr>
        <w:t xml:space="preserve">. </w:t>
      </w:r>
    </w:p>
    <w:p w:rsidR="00E34A2F" w:rsidRPr="003F3B3C" w:rsidRDefault="00E34A2F" w:rsidP="004142E1">
      <w:pPr>
        <w:spacing w:after="120" w:line="480" w:lineRule="auto"/>
        <w:jc w:val="both"/>
      </w:pPr>
      <w:r w:rsidRPr="003F3B3C">
        <w:rPr>
          <w:rFonts w:cs="URW Palladio L"/>
          <w:szCs w:val="21"/>
        </w:rPr>
        <w:t xml:space="preserve">Wilks, D. (1995), Statistical methods in the atmospheric sciences: an introduction, </w:t>
      </w:r>
      <w:r w:rsidRPr="003F3B3C">
        <w:rPr>
          <w:rFonts w:cs="URW Palladio L"/>
          <w:i/>
          <w:iCs/>
          <w:szCs w:val="21"/>
        </w:rPr>
        <w:t>Elsevier, New York</w:t>
      </w:r>
      <w:r w:rsidRPr="003F3B3C">
        <w:rPr>
          <w:rFonts w:cs="URW Palladio L"/>
          <w:szCs w:val="21"/>
        </w:rPr>
        <w:t xml:space="preserve">. </w:t>
      </w:r>
    </w:p>
    <w:sectPr w:rsidR="00E34A2F" w:rsidRPr="003F3B3C" w:rsidSect="00F93A32">
      <w:pgSz w:w="12240" w:h="16340"/>
      <w:pgMar w:top="1146" w:right="1177" w:bottom="2606" w:left="1346" w:gutter="0"/>
      <w:noEndnote/>
      <w:printerSettings r:id="rId3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URW Palladio L">
    <w:altName w:val="Cambria"/>
    <w:panose1 w:val="00000000000000000000"/>
    <w:charset w:val="4D"/>
    <w:family w:val="swiss"/>
    <w:notTrueType/>
    <w:pitch w:val="default"/>
    <w:sig w:usb0="00000003" w:usb1="00000000" w:usb2="00000000" w:usb3="00000000" w:csb0="00000001" w:csb1="00000000"/>
  </w:font>
  <w:font w:name="Nimbus Mon L">
    <w:altName w:val="Cambria"/>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09A4"/>
    <w:multiLevelType w:val="hybridMultilevel"/>
    <w:tmpl w:val="E3C0F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A75B42"/>
    <w:rsid w:val="00175E01"/>
    <w:rsid w:val="002053D8"/>
    <w:rsid w:val="00321DE4"/>
    <w:rsid w:val="00357B2B"/>
    <w:rsid w:val="003A4631"/>
    <w:rsid w:val="003F3B3C"/>
    <w:rsid w:val="004142E1"/>
    <w:rsid w:val="004D587E"/>
    <w:rsid w:val="00515990"/>
    <w:rsid w:val="00672802"/>
    <w:rsid w:val="006A3625"/>
    <w:rsid w:val="006D22CA"/>
    <w:rsid w:val="00791B03"/>
    <w:rsid w:val="00836925"/>
    <w:rsid w:val="00853AB9"/>
    <w:rsid w:val="00886374"/>
    <w:rsid w:val="00890E6B"/>
    <w:rsid w:val="00977BCD"/>
    <w:rsid w:val="00A236C3"/>
    <w:rsid w:val="00A45AF6"/>
    <w:rsid w:val="00A677F8"/>
    <w:rsid w:val="00A75B42"/>
    <w:rsid w:val="00A93C86"/>
    <w:rsid w:val="00AA54AB"/>
    <w:rsid w:val="00B6571D"/>
    <w:rsid w:val="00BE0A62"/>
    <w:rsid w:val="00BF60EC"/>
    <w:rsid w:val="00D51641"/>
    <w:rsid w:val="00D56F82"/>
    <w:rsid w:val="00D64D9E"/>
    <w:rsid w:val="00D67C25"/>
    <w:rsid w:val="00D733AE"/>
    <w:rsid w:val="00DE16DC"/>
    <w:rsid w:val="00E34A2F"/>
    <w:rsid w:val="00E35494"/>
    <w:rsid w:val="00EA28DB"/>
    <w:rsid w:val="00F51C60"/>
    <w:rsid w:val="00F93A32"/>
    <w:rsid w:val="00FA038B"/>
    <w:rsid w:val="00FB0AA0"/>
    <w:rsid w:val="00FD754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B0AA0"/>
    <w:rPr>
      <w:rFonts w:ascii="Palatino" w:eastAsiaTheme="minorEastAsia" w:hAnsi="Palatino" w:cstheme="minorBidi"/>
      <w:sz w:val="22"/>
    </w:rPr>
  </w:style>
  <w:style w:type="paragraph" w:styleId="Heading1">
    <w:name w:val="heading 1"/>
    <w:basedOn w:val="Normal"/>
    <w:next w:val="Normal"/>
    <w:link w:val="Heading1Char"/>
    <w:rsid w:val="00836925"/>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rsid w:val="00836925"/>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rsid w:val="00836925"/>
    <w:pPr>
      <w:keepNext/>
      <w:keepLines/>
      <w:spacing w:before="200"/>
      <w:outlineLvl w:val="2"/>
    </w:pPr>
    <w:rPr>
      <w:rFonts w:eastAsiaTheme="majorEastAsia" w:cstheme="majorBidi"/>
      <w:bCs/>
      <w:i/>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836925"/>
    <w:rPr>
      <w:rFonts w:ascii="Palatino" w:eastAsiaTheme="majorEastAsia" w:hAnsi="Palatino" w:cstheme="majorBidi"/>
      <w:b/>
      <w:bCs/>
      <w:sz w:val="28"/>
      <w:szCs w:val="32"/>
    </w:rPr>
  </w:style>
  <w:style w:type="character" w:customStyle="1" w:styleId="Heading2Char">
    <w:name w:val="Heading 2 Char"/>
    <w:basedOn w:val="DefaultParagraphFont"/>
    <w:link w:val="Heading2"/>
    <w:rsid w:val="00836925"/>
    <w:rPr>
      <w:rFonts w:ascii="Palatino" w:eastAsiaTheme="majorEastAsia" w:hAnsi="Palatino" w:cstheme="majorBidi"/>
      <w:b/>
      <w:bCs/>
      <w:szCs w:val="26"/>
    </w:rPr>
  </w:style>
  <w:style w:type="character" w:customStyle="1" w:styleId="Heading3Char">
    <w:name w:val="Heading 3 Char"/>
    <w:basedOn w:val="DefaultParagraphFont"/>
    <w:link w:val="Heading3"/>
    <w:rsid w:val="00836925"/>
    <w:rPr>
      <w:rFonts w:ascii="Palatino" w:eastAsiaTheme="majorEastAsia" w:hAnsi="Palatino" w:cstheme="majorBidi"/>
      <w:bCs/>
      <w:i/>
    </w:rPr>
  </w:style>
  <w:style w:type="paragraph" w:styleId="Caption">
    <w:name w:val="caption"/>
    <w:basedOn w:val="Normal"/>
    <w:next w:val="Normal"/>
    <w:uiPriority w:val="35"/>
    <w:unhideWhenUsed/>
    <w:qFormat/>
    <w:rsid w:val="00836925"/>
    <w:pPr>
      <w:spacing w:after="200"/>
    </w:pPr>
    <w:rPr>
      <w:bCs/>
      <w:sz w:val="20"/>
      <w:szCs w:val="18"/>
    </w:rPr>
  </w:style>
  <w:style w:type="character" w:styleId="Hyperlink">
    <w:name w:val="Hyperlink"/>
    <w:basedOn w:val="DefaultParagraphFont"/>
    <w:uiPriority w:val="99"/>
    <w:rsid w:val="00A93C86"/>
    <w:rPr>
      <w:color w:val="0000D4"/>
      <w:u w:val="single"/>
    </w:rPr>
  </w:style>
  <w:style w:type="character" w:styleId="FollowedHyperlink">
    <w:name w:val="FollowedHyperlink"/>
    <w:basedOn w:val="DefaultParagraphFont"/>
    <w:uiPriority w:val="99"/>
    <w:rsid w:val="00A93C86"/>
    <w:rPr>
      <w:color w:val="993366"/>
      <w:u w:val="single"/>
    </w:rPr>
  </w:style>
  <w:style w:type="paragraph" w:customStyle="1" w:styleId="font5">
    <w:name w:val="font5"/>
    <w:basedOn w:val="Normal"/>
    <w:rsid w:val="00A93C86"/>
    <w:pPr>
      <w:spacing w:beforeLines="1" w:afterLines="1"/>
    </w:pPr>
    <w:rPr>
      <w:rFonts w:ascii="Verdana" w:eastAsia="Times New Roman" w:hAnsi="Verdana" w:cs="Times New Roman"/>
      <w:sz w:val="16"/>
      <w:szCs w:val="16"/>
    </w:rPr>
  </w:style>
  <w:style w:type="paragraph" w:customStyle="1" w:styleId="xl24">
    <w:name w:val="xl24"/>
    <w:basedOn w:val="Normal"/>
    <w:rsid w:val="00A93C86"/>
    <w:pPr>
      <w:spacing w:beforeLines="1" w:afterLines="1"/>
      <w:jc w:val="right"/>
    </w:pPr>
    <w:rPr>
      <w:rFonts w:ascii="Times" w:eastAsia="Times New Roman" w:hAnsi="Times" w:cs="Times New Roman"/>
      <w:sz w:val="20"/>
      <w:szCs w:val="20"/>
    </w:rPr>
  </w:style>
  <w:style w:type="paragraph" w:customStyle="1" w:styleId="xl25">
    <w:name w:val="xl25"/>
    <w:basedOn w:val="Normal"/>
    <w:rsid w:val="00A93C86"/>
    <w:pPr>
      <w:pBdr>
        <w:bottom w:val="single" w:sz="4" w:space="0" w:color="auto"/>
      </w:pBdr>
      <w:spacing w:beforeLines="1" w:afterLines="1"/>
      <w:jc w:val="right"/>
    </w:pPr>
    <w:rPr>
      <w:rFonts w:ascii="Times" w:eastAsia="Times New Roman" w:hAnsi="Times" w:cs="Times New Roman"/>
      <w:sz w:val="20"/>
      <w:szCs w:val="20"/>
    </w:rPr>
  </w:style>
  <w:style w:type="paragraph" w:customStyle="1" w:styleId="xl26">
    <w:name w:val="xl26"/>
    <w:basedOn w:val="Normal"/>
    <w:rsid w:val="00A93C86"/>
    <w:pPr>
      <w:pBdr>
        <w:top w:val="single" w:sz="4" w:space="0" w:color="auto"/>
        <w:bottom w:val="single" w:sz="4" w:space="0" w:color="auto"/>
      </w:pBdr>
      <w:spacing w:beforeLines="1" w:afterLines="1"/>
      <w:jc w:val="right"/>
    </w:pPr>
    <w:rPr>
      <w:rFonts w:ascii="Times" w:eastAsia="Times New Roman" w:hAnsi="Times" w:cs="Times New Roman"/>
      <w:sz w:val="20"/>
      <w:szCs w:val="20"/>
    </w:rPr>
  </w:style>
  <w:style w:type="paragraph" w:customStyle="1" w:styleId="xl27">
    <w:name w:val="xl27"/>
    <w:basedOn w:val="Normal"/>
    <w:rsid w:val="00A93C86"/>
    <w:pPr>
      <w:pBdr>
        <w:top w:val="single" w:sz="4" w:space="0" w:color="auto"/>
        <w:bottom w:val="single" w:sz="4" w:space="0" w:color="auto"/>
      </w:pBdr>
      <w:spacing w:beforeLines="1" w:afterLines="1"/>
      <w:jc w:val="center"/>
    </w:pPr>
    <w:rPr>
      <w:rFonts w:ascii="Times" w:eastAsia="Times New Roman" w:hAnsi="Times" w:cs="Times New Roman"/>
      <w:sz w:val="20"/>
      <w:szCs w:val="20"/>
    </w:rPr>
  </w:style>
  <w:style w:type="paragraph" w:customStyle="1" w:styleId="xl28">
    <w:name w:val="xl28"/>
    <w:basedOn w:val="Normal"/>
    <w:rsid w:val="00A93C86"/>
    <w:pPr>
      <w:pBdr>
        <w:top w:val="single" w:sz="4" w:space="0" w:color="auto"/>
        <w:bottom w:val="single" w:sz="4" w:space="0" w:color="auto"/>
        <w:right w:val="single" w:sz="4" w:space="0" w:color="auto"/>
      </w:pBdr>
      <w:spacing w:beforeLines="1" w:afterLines="1"/>
      <w:jc w:val="center"/>
    </w:pPr>
    <w:rPr>
      <w:rFonts w:ascii="Times" w:eastAsia="Times New Roman" w:hAnsi="Times" w:cs="Times New Roman"/>
      <w:sz w:val="20"/>
      <w:szCs w:val="20"/>
    </w:rPr>
  </w:style>
  <w:style w:type="paragraph" w:customStyle="1" w:styleId="xl29">
    <w:name w:val="xl29"/>
    <w:basedOn w:val="Normal"/>
    <w:rsid w:val="00A93C86"/>
    <w:pPr>
      <w:pBdr>
        <w:bottom w:val="single" w:sz="4" w:space="0" w:color="auto"/>
      </w:pBdr>
      <w:spacing w:beforeLines="1" w:afterLines="1"/>
    </w:pPr>
    <w:rPr>
      <w:rFonts w:ascii="Times" w:eastAsia="Times New Roman" w:hAnsi="Times" w:cs="Times New Roman"/>
      <w:sz w:val="20"/>
      <w:szCs w:val="20"/>
    </w:rPr>
  </w:style>
  <w:style w:type="paragraph" w:customStyle="1" w:styleId="xl30">
    <w:name w:val="xl30"/>
    <w:basedOn w:val="Normal"/>
    <w:rsid w:val="00A93C86"/>
    <w:pPr>
      <w:pBdr>
        <w:right w:val="single" w:sz="4" w:space="0" w:color="auto"/>
      </w:pBdr>
      <w:spacing w:beforeLines="1" w:afterLines="1"/>
      <w:jc w:val="right"/>
    </w:pPr>
    <w:rPr>
      <w:rFonts w:ascii="Times" w:eastAsia="Times New Roman" w:hAnsi="Times" w:cs="Times New Roman"/>
      <w:sz w:val="20"/>
      <w:szCs w:val="20"/>
    </w:rPr>
  </w:style>
  <w:style w:type="paragraph" w:customStyle="1" w:styleId="xl31">
    <w:name w:val="xl31"/>
    <w:basedOn w:val="Normal"/>
    <w:rsid w:val="00A93C86"/>
    <w:pPr>
      <w:pBdr>
        <w:bottom w:val="single" w:sz="4" w:space="0" w:color="auto"/>
        <w:right w:val="single" w:sz="4" w:space="0" w:color="auto"/>
      </w:pBdr>
      <w:spacing w:beforeLines="1" w:afterLines="1"/>
      <w:jc w:val="right"/>
    </w:pPr>
    <w:rPr>
      <w:rFonts w:ascii="Times" w:eastAsia="Times New Roman" w:hAnsi="Times" w:cs="Times New Roman"/>
      <w:sz w:val="20"/>
      <w:szCs w:val="20"/>
    </w:rPr>
  </w:style>
  <w:style w:type="paragraph" w:customStyle="1" w:styleId="xl32">
    <w:name w:val="xl32"/>
    <w:basedOn w:val="Normal"/>
    <w:rsid w:val="00A93C86"/>
    <w:pPr>
      <w:pBdr>
        <w:right w:val="single" w:sz="4" w:space="0" w:color="auto"/>
      </w:pBdr>
      <w:spacing w:beforeLines="1" w:afterLines="1"/>
      <w:jc w:val="right"/>
    </w:pPr>
    <w:rPr>
      <w:rFonts w:ascii="Times" w:eastAsia="Times New Roman" w:hAnsi="Times" w:cs="Times New Roman"/>
      <w:sz w:val="20"/>
      <w:szCs w:val="20"/>
    </w:rPr>
  </w:style>
  <w:style w:type="paragraph" w:customStyle="1" w:styleId="xl33">
    <w:name w:val="xl33"/>
    <w:basedOn w:val="Normal"/>
    <w:rsid w:val="00A93C86"/>
    <w:pPr>
      <w:pBdr>
        <w:bottom w:val="single" w:sz="4" w:space="0" w:color="auto"/>
        <w:right w:val="single" w:sz="4" w:space="0" w:color="auto"/>
      </w:pBdr>
      <w:spacing w:beforeLines="1" w:afterLines="1"/>
      <w:jc w:val="right"/>
    </w:pPr>
    <w:rPr>
      <w:rFonts w:ascii="Times" w:eastAsia="Times New Roman" w:hAnsi="Times" w:cs="Times New Roman"/>
      <w:sz w:val="20"/>
      <w:szCs w:val="20"/>
    </w:rPr>
  </w:style>
  <w:style w:type="paragraph" w:customStyle="1" w:styleId="xl34">
    <w:name w:val="xl34"/>
    <w:basedOn w:val="Normal"/>
    <w:rsid w:val="00A93C86"/>
    <w:pPr>
      <w:pBdr>
        <w:bottom w:val="single" w:sz="4" w:space="0" w:color="auto"/>
        <w:right w:val="single" w:sz="4" w:space="0" w:color="auto"/>
      </w:pBdr>
      <w:spacing w:beforeLines="1" w:afterLines="1"/>
      <w:jc w:val="right"/>
    </w:pPr>
    <w:rPr>
      <w:rFonts w:eastAsia="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7397056">
      <w:bodyDiv w:val="1"/>
      <w:marLeft w:val="0"/>
      <w:marRight w:val="0"/>
      <w:marTop w:val="0"/>
      <w:marBottom w:val="0"/>
      <w:divBdr>
        <w:top w:val="none" w:sz="0" w:space="0" w:color="auto"/>
        <w:left w:val="none" w:sz="0" w:space="0" w:color="auto"/>
        <w:bottom w:val="none" w:sz="0" w:space="0" w:color="auto"/>
        <w:right w:val="none" w:sz="0" w:space="0" w:color="auto"/>
      </w:divBdr>
    </w:div>
    <w:div w:id="126894468">
      <w:bodyDiv w:val="1"/>
      <w:marLeft w:val="0"/>
      <w:marRight w:val="0"/>
      <w:marTop w:val="0"/>
      <w:marBottom w:val="0"/>
      <w:divBdr>
        <w:top w:val="none" w:sz="0" w:space="0" w:color="auto"/>
        <w:left w:val="none" w:sz="0" w:space="0" w:color="auto"/>
        <w:bottom w:val="none" w:sz="0" w:space="0" w:color="auto"/>
        <w:right w:val="none" w:sz="0" w:space="0" w:color="auto"/>
      </w:divBdr>
    </w:div>
    <w:div w:id="621765266">
      <w:bodyDiv w:val="1"/>
      <w:marLeft w:val="0"/>
      <w:marRight w:val="0"/>
      <w:marTop w:val="0"/>
      <w:marBottom w:val="0"/>
      <w:divBdr>
        <w:top w:val="none" w:sz="0" w:space="0" w:color="auto"/>
        <w:left w:val="none" w:sz="0" w:space="0" w:color="auto"/>
        <w:bottom w:val="none" w:sz="0" w:space="0" w:color="auto"/>
        <w:right w:val="none" w:sz="0" w:space="0" w:color="auto"/>
      </w:divBdr>
    </w:div>
    <w:div w:id="777990663">
      <w:bodyDiv w:val="1"/>
      <w:marLeft w:val="0"/>
      <w:marRight w:val="0"/>
      <w:marTop w:val="0"/>
      <w:marBottom w:val="0"/>
      <w:divBdr>
        <w:top w:val="none" w:sz="0" w:space="0" w:color="auto"/>
        <w:left w:val="none" w:sz="0" w:space="0" w:color="auto"/>
        <w:bottom w:val="none" w:sz="0" w:space="0" w:color="auto"/>
        <w:right w:val="none" w:sz="0" w:space="0" w:color="auto"/>
      </w:divBdr>
    </w:div>
    <w:div w:id="899100315">
      <w:bodyDiv w:val="1"/>
      <w:marLeft w:val="0"/>
      <w:marRight w:val="0"/>
      <w:marTop w:val="0"/>
      <w:marBottom w:val="0"/>
      <w:divBdr>
        <w:top w:val="none" w:sz="0" w:space="0" w:color="auto"/>
        <w:left w:val="none" w:sz="0" w:space="0" w:color="auto"/>
        <w:bottom w:val="none" w:sz="0" w:space="0" w:color="auto"/>
        <w:right w:val="none" w:sz="0" w:space="0" w:color="auto"/>
      </w:divBdr>
    </w:div>
    <w:div w:id="1277441352">
      <w:bodyDiv w:val="1"/>
      <w:marLeft w:val="0"/>
      <w:marRight w:val="0"/>
      <w:marTop w:val="0"/>
      <w:marBottom w:val="0"/>
      <w:divBdr>
        <w:top w:val="none" w:sz="0" w:space="0" w:color="auto"/>
        <w:left w:val="none" w:sz="0" w:space="0" w:color="auto"/>
        <w:bottom w:val="none" w:sz="0" w:space="0" w:color="auto"/>
        <w:right w:val="none" w:sz="0" w:space="0" w:color="auto"/>
      </w:divBdr>
    </w:div>
    <w:div w:id="1277756564">
      <w:bodyDiv w:val="1"/>
      <w:marLeft w:val="0"/>
      <w:marRight w:val="0"/>
      <w:marTop w:val="0"/>
      <w:marBottom w:val="0"/>
      <w:divBdr>
        <w:top w:val="none" w:sz="0" w:space="0" w:color="auto"/>
        <w:left w:val="none" w:sz="0" w:space="0" w:color="auto"/>
        <w:bottom w:val="none" w:sz="0" w:space="0" w:color="auto"/>
        <w:right w:val="none" w:sz="0" w:space="0" w:color="auto"/>
      </w:divBdr>
    </w:div>
    <w:div w:id="1332029712">
      <w:bodyDiv w:val="1"/>
      <w:marLeft w:val="0"/>
      <w:marRight w:val="0"/>
      <w:marTop w:val="0"/>
      <w:marBottom w:val="0"/>
      <w:divBdr>
        <w:top w:val="none" w:sz="0" w:space="0" w:color="auto"/>
        <w:left w:val="none" w:sz="0" w:space="0" w:color="auto"/>
        <w:bottom w:val="none" w:sz="0" w:space="0" w:color="auto"/>
        <w:right w:val="none" w:sz="0" w:space="0" w:color="auto"/>
      </w:divBdr>
    </w:div>
    <w:div w:id="1480882213">
      <w:bodyDiv w:val="1"/>
      <w:marLeft w:val="0"/>
      <w:marRight w:val="0"/>
      <w:marTop w:val="0"/>
      <w:marBottom w:val="0"/>
      <w:divBdr>
        <w:top w:val="none" w:sz="0" w:space="0" w:color="auto"/>
        <w:left w:val="none" w:sz="0" w:space="0" w:color="auto"/>
        <w:bottom w:val="none" w:sz="0" w:space="0" w:color="auto"/>
        <w:right w:val="none" w:sz="0" w:space="0" w:color="auto"/>
      </w:divBdr>
    </w:div>
    <w:div w:id="1554736693">
      <w:bodyDiv w:val="1"/>
      <w:marLeft w:val="0"/>
      <w:marRight w:val="0"/>
      <w:marTop w:val="0"/>
      <w:marBottom w:val="0"/>
      <w:divBdr>
        <w:top w:val="none" w:sz="0" w:space="0" w:color="auto"/>
        <w:left w:val="none" w:sz="0" w:space="0" w:color="auto"/>
        <w:bottom w:val="none" w:sz="0" w:space="0" w:color="auto"/>
        <w:right w:val="none" w:sz="0" w:space="0" w:color="auto"/>
      </w:divBdr>
    </w:div>
    <w:div w:id="1946379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jpeg"/><Relationship Id="rId21" Type="http://schemas.openxmlformats.org/officeDocument/2006/relationships/hyperlink" Target="http://www.esrl.noaa.gov/psd/data/correlation/" TargetMode="External"/><Relationship Id="rId22" Type="http://schemas.openxmlformats.org/officeDocument/2006/relationships/hyperlink" Target="http://www.esrl.noaa.gov/psd/data/timeseries/)" TargetMode="External"/><Relationship Id="rId23" Type="http://schemas.openxmlformats.org/officeDocument/2006/relationships/hyperlink" Target="http://www.esrl.noaa.gov/psd/data/timeseries/)" TargetMode="External"/><Relationship Id="rId24" Type="http://schemas.openxmlformats.org/officeDocument/2006/relationships/hyperlink" Target="http://www.wcc.nrcs.usda.gov/snow" TargetMode="External"/><Relationship Id="rId25" Type="http://schemas.openxmlformats.org/officeDocument/2006/relationships/image" Target="media/image12.pdf"/><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ict"/><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16.png"/><Relationship Id="rId31" Type="http://schemas.openxmlformats.org/officeDocument/2006/relationships/image" Target="media/image17.pict"/><Relationship Id="rId6" Type="http://schemas.openxmlformats.org/officeDocument/2006/relationships/image" Target="media/image2.pict"/><Relationship Id="rId33" Type="http://schemas.openxmlformats.org/officeDocument/2006/relationships/printerSettings" Target="printerSettings/printerSettings1.bin"/><Relationship Id="rId34" Type="http://schemas.openxmlformats.org/officeDocument/2006/relationships/image" Target="media/image18.pdf"/><Relationship Id="rId8" Type="http://schemas.openxmlformats.org/officeDocument/2006/relationships/image" Target="media/image3.png"/><Relationship Id="rId9" Type="http://schemas.openxmlformats.org/officeDocument/2006/relationships/image" Target="media/image4.pict"/><Relationship Id="rId37" Type="http://schemas.openxmlformats.org/officeDocument/2006/relationships/image" Target="media/image20.png"/><Relationship Id="rId38" Type="http://schemas.openxmlformats.org/officeDocument/2006/relationships/printerSettings" Target="printerSettings/printerSettings2.bin"/><Relationship Id="rId39" Type="http://schemas.openxmlformats.org/officeDocument/2006/relationships/printerSettings" Target="printerSettings/printerSettings3.bin"/><Relationship Id="rId35" Type="http://schemas.openxmlformats.org/officeDocument/2006/relationships/image" Target="media/image71.png"/><Relationship Id="rId36" Type="http://schemas.openxmlformats.org/officeDocument/2006/relationships/image" Target="media/image19.pdf"/><Relationship Id="rId11" Type="http://schemas.openxmlformats.org/officeDocument/2006/relationships/image" Target="media/image5.png"/><Relationship Id="rId12" Type="http://schemas.openxmlformats.org/officeDocument/2006/relationships/image" Target="media/image6.pict"/><Relationship Id="rId14" Type="http://schemas.openxmlformats.org/officeDocument/2006/relationships/image" Target="media/image7.png"/><Relationship Id="rId15" Type="http://schemas.openxmlformats.org/officeDocument/2006/relationships/image" Target="media/image8.pict"/><Relationship Id="rId17" Type="http://schemas.openxmlformats.org/officeDocument/2006/relationships/image" Target="media/image9.png"/><Relationship Id="rId18" Type="http://schemas.openxmlformats.org/officeDocument/2006/relationships/image" Target="media/image10.pict"/><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14</Pages>
  <Words>3225</Words>
  <Characters>18388</Characters>
  <Application>Microsoft Macintosh Word</Application>
  <DocSecurity>0</DocSecurity>
  <Lines>153</Lines>
  <Paragraphs>36</Paragraphs>
  <ScaleCrop>false</ScaleCrop>
  <Company/>
  <LinksUpToDate>false</LinksUpToDate>
  <CharactersWithSpaces>22581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cp:lastModifiedBy>Cameron Bracken</cp:lastModifiedBy>
  <cp:revision>10</cp:revision>
  <dcterms:created xsi:type="dcterms:W3CDTF">2011-01-11T02:18:00Z</dcterms:created>
  <dcterms:modified xsi:type="dcterms:W3CDTF">2011-01-14T23:45:00Z</dcterms:modified>
</cp:coreProperties>
</file>