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9DB" w:rsidRPr="00EE5432" w:rsidRDefault="002219DB" w:rsidP="002219DB">
      <w:pPr>
        <w:pStyle w:val="Heading1"/>
      </w:pPr>
      <w:r>
        <w:t>Powell</w:t>
      </w:r>
      <w:r w:rsidRPr="00EE5432">
        <w:t xml:space="preserve"> Operational Rules Outline for Midterm</w:t>
      </w:r>
      <w:r>
        <w:t xml:space="preserve"> </w:t>
      </w:r>
      <w:r w:rsidRPr="00EE5432">
        <w:t>Probabilistic Model</w:t>
      </w:r>
    </w:p>
    <w:p w:rsidR="002219DB" w:rsidRPr="00EE5432" w:rsidRDefault="002219DB" w:rsidP="002219DB"/>
    <w:p w:rsidR="002219DB" w:rsidRPr="00EE5432" w:rsidRDefault="002219DB" w:rsidP="002219DB">
      <w:pPr>
        <w:pStyle w:val="Emphasize"/>
      </w:pPr>
      <w:r w:rsidRPr="00EE5432">
        <w:t>Revisions:</w:t>
      </w:r>
    </w:p>
    <w:p w:rsidR="00777957" w:rsidRPr="004C5BCF" w:rsidRDefault="002219DB" w:rsidP="00777957">
      <w:pPr>
        <w:pStyle w:val="ListParagraph"/>
        <w:numPr>
          <w:ilvl w:val="0"/>
          <w:numId w:val="1"/>
        </w:numPr>
      </w:pPr>
      <w:r w:rsidRPr="00EE5432">
        <w:t xml:space="preserve">Rev. 1, </w:t>
      </w:r>
      <w:r w:rsidR="00FA3136">
        <w:t>23</w:t>
      </w:r>
      <w:r>
        <w:t xml:space="preserve"> July 2010</w:t>
      </w:r>
      <w:r w:rsidR="00777957">
        <w:t xml:space="preserve"> </w:t>
      </w:r>
      <w:r w:rsidR="00777957" w:rsidRPr="00777957">
        <w:rPr>
          <w:i/>
        </w:rPr>
        <w:t>Cameron Bracken</w:t>
      </w:r>
    </w:p>
    <w:p w:rsidR="004C5BCF" w:rsidRPr="00EE5432" w:rsidRDefault="004C5BCF" w:rsidP="00777957">
      <w:pPr>
        <w:pStyle w:val="ListParagraph"/>
        <w:numPr>
          <w:ilvl w:val="0"/>
          <w:numId w:val="1"/>
        </w:numPr>
      </w:pPr>
      <w:r>
        <w:t xml:space="preserve">Rev. 2, </w:t>
      </w:r>
      <w:r w:rsidR="007B57B9">
        <w:t xml:space="preserve">26 July 2010 </w:t>
      </w:r>
      <w:r w:rsidR="007232BF" w:rsidRPr="007232BF">
        <w:rPr>
          <w:i/>
        </w:rPr>
        <w:t>Cameron Bracken</w:t>
      </w:r>
    </w:p>
    <w:p w:rsidR="002219DB" w:rsidRPr="00EE5432" w:rsidRDefault="002219DB" w:rsidP="002219DB">
      <w:pPr>
        <w:pStyle w:val="Heading2"/>
        <w:pBdr>
          <w:top w:val="single" w:sz="12" w:space="1" w:color="auto"/>
          <w:bottom w:val="single" w:sz="12" w:space="1" w:color="auto"/>
        </w:pBdr>
      </w:pPr>
      <w:r w:rsidRPr="00EE5432">
        <w:t>Data</w:t>
      </w:r>
    </w:p>
    <w:p w:rsidR="002219DB" w:rsidRPr="00EE5432" w:rsidRDefault="002219DB" w:rsidP="002219DB">
      <w:pPr>
        <w:pStyle w:val="Heading3"/>
      </w:pPr>
      <w:r w:rsidRPr="00EE5432">
        <w:t xml:space="preserve">Data Object </w:t>
      </w:r>
    </w:p>
    <w:p w:rsidR="002219DB" w:rsidRPr="00EE5432" w:rsidRDefault="002219DB" w:rsidP="002219DB">
      <w:r>
        <w:t>Powell</w:t>
      </w:r>
      <w:r w:rsidRPr="00EE5432">
        <w:t>Data</w:t>
      </w:r>
    </w:p>
    <w:p w:rsidR="000930B8" w:rsidRDefault="00D87E25" w:rsidP="00D87E25">
      <w:pPr>
        <w:pStyle w:val="ListParagraph"/>
        <w:numPr>
          <w:ilvl w:val="0"/>
          <w:numId w:val="1"/>
        </w:numPr>
      </w:pPr>
      <w:r>
        <w:t xml:space="preserve">Equalization </w:t>
      </w:r>
      <w:r w:rsidR="00235422">
        <w:t>Elevation</w:t>
      </w:r>
      <w:r>
        <w:t xml:space="preserve"> Table</w:t>
      </w:r>
    </w:p>
    <w:p w:rsidR="00D87E25" w:rsidRDefault="00D87E25" w:rsidP="002219DB">
      <w:pPr>
        <w:pStyle w:val="ListParagraph"/>
        <w:numPr>
          <w:ilvl w:val="0"/>
          <w:numId w:val="1"/>
        </w:numPr>
      </w:pPr>
      <w:r>
        <w:t>Tear Limits</w:t>
      </w:r>
    </w:p>
    <w:p w:rsidR="00BB65B9" w:rsidRDefault="00BB65B9" w:rsidP="00BB65B9">
      <w:pPr>
        <w:pStyle w:val="ListParagraph"/>
        <w:numPr>
          <w:ilvl w:val="0"/>
          <w:numId w:val="1"/>
        </w:numPr>
      </w:pPr>
      <w:r>
        <w:t>Steady Flow Experiment October Minimum Release = 492 kaf</w:t>
      </w:r>
    </w:p>
    <w:p w:rsidR="00BB65B9" w:rsidRDefault="00BB65B9" w:rsidP="00BB65B9">
      <w:pPr>
        <w:pStyle w:val="ListParagraph"/>
        <w:numPr>
          <w:ilvl w:val="0"/>
          <w:numId w:val="1"/>
        </w:numPr>
      </w:pPr>
      <w:r>
        <w:t>Non Steady Flow Experiment October Minimum Release = 600 kaf</w:t>
      </w:r>
    </w:p>
    <w:p w:rsidR="00BB65B9" w:rsidRDefault="00BB65B9" w:rsidP="00BB65B9">
      <w:pPr>
        <w:pStyle w:val="ListParagraph"/>
        <w:numPr>
          <w:ilvl w:val="0"/>
          <w:numId w:val="1"/>
        </w:numPr>
      </w:pPr>
      <w:r>
        <w:t>November Minimum Release = 700 kaf</w:t>
      </w:r>
    </w:p>
    <w:p w:rsidR="00BB65B9" w:rsidRPr="00BB65B9" w:rsidRDefault="00BB65B9" w:rsidP="00BB65B9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BB65B9">
        <w:rPr>
          <w:rFonts w:ascii="Palatino Linotype" w:hAnsi="Palatino Linotype"/>
        </w:rPr>
        <w:t>December Minimum Release = 800 kaf</w:t>
      </w:r>
    </w:p>
    <w:p w:rsidR="00583257" w:rsidRPr="00840D81" w:rsidRDefault="00583257">
      <w:pPr>
        <w:rPr>
          <w:rFonts w:ascii="Palatino Linotype" w:hAnsi="Palatino Linotype"/>
        </w:rPr>
      </w:pPr>
    </w:p>
    <w:p w:rsidR="00B634A7" w:rsidRPr="00840D81" w:rsidRDefault="00B634A7" w:rsidP="00B634A7">
      <w:pPr>
        <w:pStyle w:val="Default"/>
        <w:rPr>
          <w:rFonts w:ascii="Palatino Linotype" w:hAnsi="Palatino Linotype"/>
        </w:rPr>
      </w:pPr>
    </w:p>
    <w:p w:rsidR="00840D81" w:rsidRPr="00840D81" w:rsidRDefault="00840D81" w:rsidP="00840D81">
      <w:pPr>
        <w:pStyle w:val="Caption"/>
        <w:keepNext/>
      </w:pPr>
      <w:r w:rsidRPr="00840D81">
        <w:t xml:space="preserve">Table </w:t>
      </w:r>
      <w:r w:rsidR="007232BF">
        <w:fldChar w:fldCharType="begin"/>
      </w:r>
      <w:r w:rsidR="007232BF">
        <w:instrText xml:space="preserve"> SEQ Table \* ARABIC </w:instrText>
      </w:r>
      <w:r w:rsidR="007232BF">
        <w:fldChar w:fldCharType="separate"/>
      </w:r>
      <w:r w:rsidRPr="00840D81">
        <w:rPr>
          <w:noProof/>
        </w:rPr>
        <w:t>1</w:t>
      </w:r>
      <w:r w:rsidR="007232BF">
        <w:fldChar w:fldCharType="end"/>
      </w:r>
      <w:r w:rsidRPr="00840D81">
        <w:t xml:space="preserve">: </w:t>
      </w:r>
      <w:r w:rsidRPr="00840D81">
        <w:rPr>
          <w:bCs w:val="0"/>
          <w:szCs w:val="20"/>
        </w:rPr>
        <w:t>Lake Powell Equalization Elevation Table</w:t>
      </w:r>
    </w:p>
    <w:tbl>
      <w:tblPr>
        <w:tblW w:w="3528" w:type="dxa"/>
        <w:jc w:val="center"/>
        <w:tblBorders>
          <w:top w:val="nil"/>
          <w:left w:val="nil"/>
          <w:bottom w:val="nil"/>
          <w:right w:val="nil"/>
        </w:tblBorders>
        <w:tblLook w:val="0000"/>
      </w:tblPr>
      <w:tblGrid>
        <w:gridCol w:w="1605"/>
        <w:gridCol w:w="1923"/>
      </w:tblGrid>
      <w:tr w:rsidR="00B634A7" w:rsidRPr="00840D81" w:rsidTr="00840D81">
        <w:trPr>
          <w:trHeight w:val="220"/>
          <w:jc w:val="center"/>
        </w:trPr>
        <w:tc>
          <w:tcPr>
            <w:tcW w:w="160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40D81">
              <w:rPr>
                <w:rFonts w:ascii="Palatino Linotype" w:hAnsi="Palatino Linotype"/>
                <w:b/>
                <w:bCs/>
                <w:sz w:val="20"/>
                <w:szCs w:val="20"/>
              </w:rPr>
              <w:t>Water Year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20"/>
                <w:szCs w:val="20"/>
              </w:rPr>
            </w:pPr>
            <w:r w:rsidRPr="00840D81">
              <w:rPr>
                <w:rFonts w:ascii="Palatino Linotype" w:hAnsi="Palatino Linotype"/>
                <w:b/>
                <w:bCs/>
                <w:sz w:val="20"/>
                <w:szCs w:val="20"/>
              </w:rPr>
              <w:t>Elevation (feet)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2008</w:t>
            </w:r>
          </w:p>
        </w:tc>
        <w:tc>
          <w:tcPr>
            <w:tcW w:w="1923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3,636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2009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3,639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3,642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3,643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2012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3,645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3,646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3,648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3,649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2016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3,651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2017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3,652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2018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3,654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2019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3,655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2020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3,657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2021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3,659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2022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3,660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2023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3,662</w:t>
            </w:r>
          </w:p>
        </w:tc>
      </w:tr>
      <w:tr w:rsidR="00B634A7" w:rsidRPr="00840D81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2024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Pr="00840D81" w:rsidRDefault="00B634A7" w:rsidP="00840D81">
            <w:pPr>
              <w:pStyle w:val="Default"/>
              <w:jc w:val="center"/>
              <w:rPr>
                <w:rFonts w:ascii="Palatino Linotype" w:hAnsi="Palatino Linotype"/>
                <w:sz w:val="18"/>
                <w:szCs w:val="18"/>
              </w:rPr>
            </w:pPr>
            <w:r w:rsidRPr="00840D81">
              <w:rPr>
                <w:rFonts w:ascii="Palatino Linotype" w:hAnsi="Palatino Linotype"/>
                <w:sz w:val="18"/>
                <w:szCs w:val="18"/>
              </w:rPr>
              <w:t>3,663</w:t>
            </w:r>
          </w:p>
        </w:tc>
      </w:tr>
      <w:tr w:rsidR="00B634A7" w:rsidTr="00840D81">
        <w:trPr>
          <w:trHeight w:val="300"/>
          <w:jc w:val="center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Default="00B634A7" w:rsidP="00840D81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2025</w:t>
            </w: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34A7" w:rsidRDefault="00B634A7" w:rsidP="00840D81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3,664</w:t>
            </w:r>
          </w:p>
        </w:tc>
      </w:tr>
      <w:tr w:rsidR="00B634A7" w:rsidTr="00840D81">
        <w:trPr>
          <w:trHeight w:val="240"/>
          <w:jc w:val="center"/>
        </w:trPr>
        <w:tc>
          <w:tcPr>
            <w:tcW w:w="160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34A7" w:rsidRDefault="00B634A7" w:rsidP="00840D81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2026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B634A7" w:rsidRDefault="00B634A7" w:rsidP="00840D81">
            <w:pPr>
              <w:pStyle w:val="Defaul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3,666</w:t>
            </w:r>
          </w:p>
        </w:tc>
      </w:tr>
    </w:tbl>
    <w:p w:rsidR="00583257" w:rsidRDefault="00583257">
      <w:pPr>
        <w:rPr>
          <w:rFonts w:ascii="Palatino Linotype" w:hAnsi="Palatino Linotype"/>
        </w:rPr>
      </w:pPr>
    </w:p>
    <w:p w:rsidR="00000000" w:rsidRDefault="00BB65B9">
      <w:pPr>
        <w:pStyle w:val="Caption"/>
        <w:keepNext/>
      </w:pPr>
      <w:r>
        <w:t xml:space="preserve">Table </w:t>
      </w:r>
      <w:r w:rsidR="007232BF">
        <w:fldChar w:fldCharType="begin"/>
      </w:r>
      <w:r>
        <w:instrText xml:space="preserve"> SEQ Table \* ARABIC </w:instrText>
      </w:r>
      <w:r w:rsidR="007232BF">
        <w:fldChar w:fldCharType="separate"/>
      </w:r>
      <w:r w:rsidR="00840D81">
        <w:rPr>
          <w:noProof/>
        </w:rPr>
        <w:t>2</w:t>
      </w:r>
      <w:r w:rsidR="007232BF">
        <w:fldChar w:fldCharType="end"/>
      </w:r>
      <w:r>
        <w:t xml:space="preserve">: </w:t>
      </w:r>
      <w:r w:rsidRPr="00BB65B9">
        <w:t>Powell Monthly Disaggregations of Annual Release Volumes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1600"/>
        <w:gridCol w:w="945"/>
        <w:gridCol w:w="1052"/>
        <w:gridCol w:w="945"/>
        <w:gridCol w:w="1052"/>
        <w:gridCol w:w="945"/>
        <w:gridCol w:w="945"/>
        <w:gridCol w:w="967"/>
        <w:gridCol w:w="1125"/>
      </w:tblGrid>
      <w:tr w:rsidR="00BB65B9" w:rsidRPr="00BB65B9" w:rsidTr="00BB65B9">
        <w:trPr>
          <w:trHeight w:val="330"/>
        </w:trPr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Annual Volume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7.0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7.48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7.8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8.23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9.0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9.5 MAF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 MAF*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vAlign w:val="center"/>
            <w:hideMark/>
          </w:tcPr>
          <w:p w:rsidR="00000000" w:rsidRDefault="00BB65B9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10.5 MAF*</w:t>
            </w:r>
          </w:p>
        </w:tc>
      </w:tr>
      <w:tr w:rsidR="00BB65B9" w:rsidRPr="00BB65B9" w:rsidTr="00B634A7">
        <w:trPr>
          <w:trHeight w:val="330"/>
        </w:trPr>
        <w:tc>
          <w:tcPr>
            <w:tcW w:w="556" w:type="pct"/>
            <w:vMerge/>
            <w:tcBorders>
              <w:bottom w:val="single" w:sz="4" w:space="0" w:color="auto"/>
            </w:tcBorders>
            <w:vAlign w:val="center"/>
            <w:hideMark/>
          </w:tcPr>
          <w:p w:rsidR="00BB65B9" w:rsidRPr="00BB65B9" w:rsidRDefault="00BB65B9" w:rsidP="00BB65B9">
            <w:pP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56" w:type="pct"/>
            <w:vMerge/>
            <w:tcBorders>
              <w:bottom w:val="single" w:sz="4" w:space="0" w:color="auto"/>
            </w:tcBorders>
            <w:vAlign w:val="bottom"/>
            <w:hideMark/>
          </w:tcPr>
          <w:p w:rsidR="00000000" w:rsidRDefault="00E511BB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OCT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NOV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DEC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JAN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950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FEB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MAR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APR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750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MAY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450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530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JUN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JUL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1150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AUG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720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1050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1100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1150</w:t>
            </w:r>
          </w:p>
        </w:tc>
        <w:tc>
          <w:tcPr>
            <w:tcW w:w="55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i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1200</w:t>
            </w:r>
          </w:p>
        </w:tc>
      </w:tr>
      <w:tr w:rsidR="00147462" w:rsidRPr="00BB65B9" w:rsidTr="00B634A7">
        <w:trPr>
          <w:trHeight w:val="330"/>
        </w:trPr>
        <w:tc>
          <w:tcPr>
            <w:tcW w:w="55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B65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SEP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468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600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630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800</w:t>
            </w:r>
          </w:p>
        </w:tc>
        <w:tc>
          <w:tcPr>
            <w:tcW w:w="556" w:type="pct"/>
            <w:tcBorders>
              <w:top w:val="nil"/>
            </w:tcBorders>
            <w:shd w:val="clear" w:color="000000" w:fill="C0C0C0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850</w:t>
            </w:r>
          </w:p>
        </w:tc>
        <w:tc>
          <w:tcPr>
            <w:tcW w:w="55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900</w:t>
            </w:r>
          </w:p>
        </w:tc>
        <w:tc>
          <w:tcPr>
            <w:tcW w:w="55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583257" w:rsidRDefault="00BB65B9">
            <w:pPr>
              <w:jc w:val="right"/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</w:pPr>
            <w:r w:rsidRPr="00BB65B9">
              <w:rPr>
                <w:rFonts w:ascii="Palatino Linotype" w:eastAsia="Times New Roman" w:hAnsi="Palatino Linotype"/>
                <w:color w:val="000000"/>
                <w:sz w:val="20"/>
                <w:szCs w:val="20"/>
              </w:rPr>
              <w:t>950</w:t>
            </w:r>
          </w:p>
        </w:tc>
      </w:tr>
    </w:tbl>
    <w:p w:rsidR="00BB65B9" w:rsidRPr="00BB65B9" w:rsidRDefault="007232BF" w:rsidP="002219DB">
      <w:pPr>
        <w:rPr>
          <w:sz w:val="20"/>
          <w:szCs w:val="20"/>
        </w:rPr>
      </w:pPr>
      <w:r w:rsidRPr="007232BF">
        <w:rPr>
          <w:sz w:val="20"/>
          <w:szCs w:val="20"/>
        </w:rPr>
        <w:t>*All Disaggregation Patterns for 7.0 MAF to 9.5 MAF taken from FEIS.  10 MAF and 10.5 MAF patterns are extrapolated from the difference between 9.0 MAF and 9.5 MAF</w:t>
      </w:r>
    </w:p>
    <w:p w:rsidR="00FA3136" w:rsidRDefault="00FA3136" w:rsidP="002219DB"/>
    <w:p w:rsidR="00583257" w:rsidRDefault="00583257" w:rsidP="00583257"/>
    <w:p w:rsidR="00583257" w:rsidRDefault="00583257" w:rsidP="00583257">
      <w:pPr>
        <w:pStyle w:val="Caption"/>
        <w:keepNext/>
      </w:pPr>
      <w:bookmarkStart w:id="0" w:name="_Ref267407299"/>
      <w:r w:rsidRPr="00583257">
        <w:t xml:space="preserve">Table </w:t>
      </w:r>
      <w:r w:rsidR="007232BF" w:rsidRPr="00522A04">
        <w:rPr>
          <w:b/>
        </w:rPr>
        <w:fldChar w:fldCharType="begin"/>
      </w:r>
      <w:r w:rsidRPr="00522A04">
        <w:rPr>
          <w:b/>
        </w:rPr>
        <w:instrText xml:space="preserve"> SEQ Table \* ARABIC </w:instrText>
      </w:r>
      <w:r w:rsidR="007232BF" w:rsidRPr="00522A04">
        <w:rPr>
          <w:b/>
        </w:rPr>
        <w:fldChar w:fldCharType="separate"/>
      </w:r>
      <w:r w:rsidR="00840D81">
        <w:rPr>
          <w:b/>
          <w:noProof/>
        </w:rPr>
        <w:t>3</w:t>
      </w:r>
      <w:r w:rsidR="007232BF" w:rsidRPr="00522A04">
        <w:rPr>
          <w:b/>
        </w:rPr>
        <w:fldChar w:fldCharType="end"/>
      </w:r>
      <w:bookmarkEnd w:id="0"/>
      <w:r>
        <w:t>: Powell Release Tiers</w:t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none" w:sz="0" w:space="0" w:color="auto"/>
        </w:tblBorders>
        <w:tblLook w:val="04A0"/>
      </w:tblPr>
      <w:tblGrid>
        <w:gridCol w:w="3724"/>
        <w:gridCol w:w="3724"/>
      </w:tblGrid>
      <w:tr w:rsidR="00583257" w:rsidTr="00B634A7">
        <w:trPr>
          <w:trHeight w:val="416"/>
          <w:jc w:val="center"/>
        </w:trPr>
        <w:tc>
          <w:tcPr>
            <w:tcW w:w="3724" w:type="dxa"/>
            <w:tcBorders>
              <w:bottom w:val="single" w:sz="4" w:space="0" w:color="auto"/>
            </w:tcBorders>
            <w:vAlign w:val="center"/>
          </w:tcPr>
          <w:p w:rsidR="00583257" w:rsidRPr="006651B8" w:rsidRDefault="00583257" w:rsidP="00583257">
            <w:pPr>
              <w:jc w:val="center"/>
              <w:rPr>
                <w:b/>
              </w:rPr>
            </w:pPr>
            <w:r w:rsidRPr="006651B8">
              <w:rPr>
                <w:b/>
              </w:rPr>
              <w:t>Projected Powell Jan1 Elevation</w:t>
            </w:r>
          </w:p>
        </w:tc>
        <w:tc>
          <w:tcPr>
            <w:tcW w:w="3724" w:type="dxa"/>
            <w:tcBorders>
              <w:bottom w:val="single" w:sz="4" w:space="0" w:color="auto"/>
            </w:tcBorders>
            <w:vAlign w:val="center"/>
          </w:tcPr>
          <w:p w:rsidR="00583257" w:rsidRPr="006651B8" w:rsidRDefault="00583257" w:rsidP="00583257">
            <w:pPr>
              <w:jc w:val="center"/>
              <w:rPr>
                <w:b/>
              </w:rPr>
            </w:pPr>
            <w:r w:rsidRPr="006651B8">
              <w:rPr>
                <w:b/>
              </w:rPr>
              <w:t>Tier</w:t>
            </w:r>
          </w:p>
        </w:tc>
      </w:tr>
      <w:tr w:rsidR="00583257" w:rsidTr="00B634A7">
        <w:trPr>
          <w:trHeight w:val="416"/>
          <w:jc w:val="center"/>
        </w:trPr>
        <w:tc>
          <w:tcPr>
            <w:tcW w:w="3724" w:type="dxa"/>
            <w:tcBorders>
              <w:bottom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&gt;= Eq. Level for WY</w:t>
            </w:r>
          </w:p>
        </w:tc>
        <w:tc>
          <w:tcPr>
            <w:tcW w:w="3724" w:type="dxa"/>
            <w:tcBorders>
              <w:bottom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Equalization</w:t>
            </w:r>
          </w:p>
        </w:tc>
      </w:tr>
      <w:tr w:rsidR="00583257" w:rsidTr="00B634A7">
        <w:trPr>
          <w:trHeight w:val="416"/>
          <w:jc w:val="center"/>
        </w:trPr>
        <w:tc>
          <w:tcPr>
            <w:tcW w:w="3724" w:type="dxa"/>
            <w:tcBorders>
              <w:top w:val="nil"/>
              <w:bottom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&lt; Eq. Level and &gt;= 3575 ft.</w:t>
            </w:r>
          </w:p>
        </w:tc>
        <w:tc>
          <w:tcPr>
            <w:tcW w:w="3724" w:type="dxa"/>
            <w:tcBorders>
              <w:top w:val="nil"/>
              <w:bottom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Upper Elevation Balancing</w:t>
            </w:r>
          </w:p>
        </w:tc>
      </w:tr>
      <w:tr w:rsidR="00583257" w:rsidTr="00B634A7">
        <w:trPr>
          <w:trHeight w:val="416"/>
          <w:jc w:val="center"/>
        </w:trPr>
        <w:tc>
          <w:tcPr>
            <w:tcW w:w="3724" w:type="dxa"/>
            <w:tcBorders>
              <w:top w:val="nil"/>
              <w:bottom w:val="nil"/>
            </w:tcBorders>
            <w:vAlign w:val="center"/>
          </w:tcPr>
          <w:p w:rsidR="00583257" w:rsidRPr="00522A04" w:rsidRDefault="00583257" w:rsidP="00583257">
            <w:pPr>
              <w:jc w:val="center"/>
            </w:pPr>
            <w:r>
              <w:t>&lt; 357</w:t>
            </w:r>
            <w:r w:rsidRPr="00522A04">
              <w:t xml:space="preserve">5 ft. </w:t>
            </w:r>
            <w:r>
              <w:t>and &gt;= 3525</w:t>
            </w:r>
          </w:p>
        </w:tc>
        <w:tc>
          <w:tcPr>
            <w:tcW w:w="3724" w:type="dxa"/>
            <w:tcBorders>
              <w:top w:val="nil"/>
              <w:bottom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 xml:space="preserve">Mid-Elevation Release </w:t>
            </w:r>
          </w:p>
        </w:tc>
      </w:tr>
      <w:tr w:rsidR="00583257" w:rsidTr="00B634A7">
        <w:trPr>
          <w:trHeight w:val="448"/>
          <w:jc w:val="center"/>
        </w:trPr>
        <w:tc>
          <w:tcPr>
            <w:tcW w:w="3724" w:type="dxa"/>
            <w:tcBorders>
              <w:top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&lt; 3525 ft.</w:t>
            </w:r>
          </w:p>
        </w:tc>
        <w:tc>
          <w:tcPr>
            <w:tcW w:w="3724" w:type="dxa"/>
            <w:tcBorders>
              <w:top w:val="nil"/>
            </w:tcBorders>
            <w:vAlign w:val="center"/>
          </w:tcPr>
          <w:p w:rsidR="00583257" w:rsidRDefault="00583257" w:rsidP="00583257">
            <w:pPr>
              <w:jc w:val="center"/>
            </w:pPr>
            <w:r>
              <w:t>Lower Elevation Balancing</w:t>
            </w:r>
          </w:p>
        </w:tc>
      </w:tr>
    </w:tbl>
    <w:p w:rsidR="00BB65B9" w:rsidRDefault="00BB65B9" w:rsidP="002219DB"/>
    <w:p w:rsidR="00B634A7" w:rsidRDefault="00B634A7" w:rsidP="00B634A7">
      <w:pPr>
        <w:pStyle w:val="Caption"/>
        <w:keepNext/>
      </w:pPr>
      <w:bookmarkStart w:id="1" w:name="_Ref267982536"/>
      <w:r>
        <w:t xml:space="preserve">Table </w:t>
      </w:r>
      <w:r w:rsidR="007232BF">
        <w:fldChar w:fldCharType="begin"/>
      </w:r>
      <w:r w:rsidR="007232BF">
        <w:instrText xml:space="preserve"> SEQ Table \* ARABIC </w:instrText>
      </w:r>
      <w:r w:rsidR="007232BF">
        <w:fldChar w:fldCharType="separate"/>
      </w:r>
      <w:r w:rsidR="00840D81">
        <w:rPr>
          <w:noProof/>
        </w:rPr>
        <w:t>4</w:t>
      </w:r>
      <w:r w:rsidR="007232BF">
        <w:fldChar w:fldCharType="end"/>
      </w:r>
      <w:bookmarkEnd w:id="1"/>
      <w:r>
        <w:t>: Releases for steady flow experiment</w:t>
      </w:r>
    </w:p>
    <w:tbl>
      <w:tblPr>
        <w:tblStyle w:val="TableGrid"/>
        <w:tblW w:w="0" w:type="auto"/>
        <w:jc w:val="center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ook w:val="04A0"/>
      </w:tblPr>
      <w:tblGrid>
        <w:gridCol w:w="2484"/>
        <w:gridCol w:w="2795"/>
      </w:tblGrid>
      <w:tr w:rsidR="00B634A7" w:rsidTr="00B634A7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Annual Volume (MAF)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Oct/Nov Steady flow (cfs)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rPr>
                <w:rFonts w:ascii="Book Antiqua" w:hAnsi="Book Antiqua"/>
              </w:rPr>
              <w:t>≤</w:t>
            </w:r>
            <w:r>
              <w:t xml:space="preserve"> 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8000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10000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12000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16000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18000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22000</w:t>
            </w:r>
          </w:p>
        </w:tc>
      </w:tr>
      <w:tr w:rsidR="00B634A7" w:rsidTr="00B634A7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:rsidR="00B634A7" w:rsidRDefault="00B634A7" w:rsidP="00B634A7">
            <w:pPr>
              <w:jc w:val="center"/>
            </w:pPr>
            <w:r>
              <w:t>25000</w:t>
            </w:r>
          </w:p>
        </w:tc>
      </w:tr>
    </w:tbl>
    <w:p w:rsidR="00B634A7" w:rsidRPr="00EE5432" w:rsidRDefault="00B634A7" w:rsidP="002219DB"/>
    <w:p w:rsidR="002219DB" w:rsidRPr="00EE5432" w:rsidRDefault="002219DB" w:rsidP="002219DB">
      <w:pPr>
        <w:pStyle w:val="Heading3"/>
      </w:pPr>
      <w:r w:rsidRPr="00EE5432">
        <w:lastRenderedPageBreak/>
        <w:t>Required User Data Input</w:t>
      </w:r>
    </w:p>
    <w:p w:rsidR="000930B8" w:rsidRDefault="000930B8" w:rsidP="002219DB">
      <w:r>
        <w:tab/>
      </w:r>
      <w:r w:rsidR="00583257">
        <w:t>Steady Flow experiment year?</w:t>
      </w:r>
    </w:p>
    <w:p w:rsidR="00FA3136" w:rsidRPr="00EE5432" w:rsidRDefault="00FA3136" w:rsidP="002219DB"/>
    <w:p w:rsidR="002219DB" w:rsidRPr="00EE5432" w:rsidRDefault="002219DB" w:rsidP="002219DB">
      <w:pPr>
        <w:pStyle w:val="Heading2"/>
        <w:pBdr>
          <w:top w:val="single" w:sz="12" w:space="1" w:color="auto"/>
          <w:bottom w:val="single" w:sz="12" w:space="1" w:color="auto"/>
        </w:pBdr>
      </w:pPr>
      <w:r w:rsidRPr="00EE5432">
        <w:t>Rules</w:t>
      </w:r>
    </w:p>
    <w:p w:rsidR="002219DB" w:rsidRPr="00EE5432" w:rsidRDefault="002219DB" w:rsidP="002219DB">
      <w:r w:rsidRPr="00EE5432">
        <w:t>In order of priority</w:t>
      </w:r>
    </w:p>
    <w:p w:rsidR="003C6365" w:rsidRDefault="003C6365" w:rsidP="002219DB"/>
    <w:p w:rsidR="00000000" w:rsidRDefault="00064073">
      <w:pPr>
        <w:pStyle w:val="Heading3"/>
      </w:pPr>
      <w:r>
        <w:t>1. Steady Flow Experiment</w:t>
      </w:r>
    </w:p>
    <w:p w:rsidR="00064073" w:rsidRPr="00EE5432" w:rsidRDefault="00064073" w:rsidP="00064073">
      <w:r w:rsidRPr="00024EC0">
        <w:rPr>
          <w:i/>
        </w:rPr>
        <w:t>Execution Constraint</w:t>
      </w:r>
      <w:r w:rsidRPr="00EE5432">
        <w:t xml:space="preserve">: </w:t>
      </w:r>
      <w:r w:rsidR="00B634A7">
        <w:t xml:space="preserve">Current year is a steady flow experiment year (user input) and Month is </w:t>
      </w:r>
      <w:r w:rsidR="00C274B3">
        <w:t>May - September</w:t>
      </w:r>
      <w:r w:rsidR="00B634A7">
        <w:t>.</w:t>
      </w:r>
    </w:p>
    <w:p w:rsidR="00064073" w:rsidRPr="00EE5432" w:rsidRDefault="00064073" w:rsidP="00064073"/>
    <w:p w:rsidR="002B2E36" w:rsidRDefault="00064073" w:rsidP="00064073">
      <w:r w:rsidRPr="00024EC0">
        <w:rPr>
          <w:i/>
        </w:rPr>
        <w:t>Description</w:t>
      </w:r>
      <w:r w:rsidRPr="00EE5432">
        <w:t>:</w:t>
      </w:r>
      <w:r>
        <w:t xml:space="preserve">  </w:t>
      </w:r>
      <w:r w:rsidR="00B634A7">
        <w:t>T</w:t>
      </w:r>
      <w:r w:rsidR="00583257">
        <w:t>he release in September and Oc</w:t>
      </w:r>
      <w:r w:rsidR="00B634A7">
        <w:t xml:space="preserve">tober must be steady and equal according to </w:t>
      </w:r>
      <w:r w:rsidR="007232BF">
        <w:fldChar w:fldCharType="begin"/>
      </w:r>
      <w:r w:rsidR="00B634A7">
        <w:instrText xml:space="preserve"> REF _Ref267982536 \h </w:instrText>
      </w:r>
      <w:r w:rsidR="007232BF">
        <w:fldChar w:fldCharType="separate"/>
      </w:r>
      <w:r w:rsidR="00B634A7">
        <w:t xml:space="preserve">Table </w:t>
      </w:r>
      <w:r w:rsidR="00B634A7">
        <w:rPr>
          <w:noProof/>
        </w:rPr>
        <w:t>3</w:t>
      </w:r>
      <w:r w:rsidR="007232BF">
        <w:fldChar w:fldCharType="end"/>
      </w:r>
      <w:r w:rsidR="00B634A7">
        <w:t xml:space="preserve">.  This may require </w:t>
      </w:r>
      <w:r w:rsidR="002B2E36">
        <w:t xml:space="preserve">reductions to meet the annual volume requirement.  Reductions are made in the following order: </w:t>
      </w:r>
    </w:p>
    <w:p w:rsidR="002B2E36" w:rsidRDefault="002B2E36" w:rsidP="002B2E36">
      <w:pPr>
        <w:pStyle w:val="ListParagraph"/>
        <w:numPr>
          <w:ilvl w:val="0"/>
          <w:numId w:val="11"/>
        </w:numPr>
      </w:pPr>
      <w:r>
        <w:t>Reduce July to 800 kaf</w:t>
      </w:r>
    </w:p>
    <w:p w:rsidR="002B2E36" w:rsidRDefault="002B2E36" w:rsidP="002B2E36">
      <w:pPr>
        <w:pStyle w:val="ListParagraph"/>
        <w:numPr>
          <w:ilvl w:val="0"/>
          <w:numId w:val="11"/>
        </w:numPr>
      </w:pPr>
      <w:r>
        <w:t>Reduce August to 800 kaf</w:t>
      </w:r>
    </w:p>
    <w:p w:rsidR="002B2E36" w:rsidRDefault="002B2E36" w:rsidP="002B2E36">
      <w:pPr>
        <w:pStyle w:val="ListParagraph"/>
        <w:numPr>
          <w:ilvl w:val="0"/>
          <w:numId w:val="11"/>
        </w:numPr>
      </w:pPr>
      <w:r>
        <w:t>Reduce June to 800</w:t>
      </w:r>
    </w:p>
    <w:p w:rsidR="002B2E36" w:rsidRDefault="002B2E36" w:rsidP="002B2E36">
      <w:pPr>
        <w:pStyle w:val="ListParagraph"/>
        <w:numPr>
          <w:ilvl w:val="0"/>
          <w:numId w:val="11"/>
        </w:numPr>
      </w:pPr>
      <w:r>
        <w:t>Reduce June to 600</w:t>
      </w:r>
    </w:p>
    <w:p w:rsidR="002B2E36" w:rsidRDefault="002B2E36" w:rsidP="002B2E36">
      <w:pPr>
        <w:pStyle w:val="ListParagraph"/>
        <w:numPr>
          <w:ilvl w:val="0"/>
          <w:numId w:val="11"/>
        </w:numPr>
      </w:pPr>
      <w:r>
        <w:t>Reduce April to 500</w:t>
      </w:r>
    </w:p>
    <w:p w:rsidR="00B634A7" w:rsidRDefault="002B2E36" w:rsidP="00064073">
      <w:pPr>
        <w:pStyle w:val="ListParagraph"/>
        <w:numPr>
          <w:ilvl w:val="0"/>
          <w:numId w:val="11"/>
        </w:numPr>
      </w:pPr>
      <w:r>
        <w:t xml:space="preserve">Reduce May to 500 </w:t>
      </w:r>
    </w:p>
    <w:p w:rsidR="00064073" w:rsidRDefault="00064073" w:rsidP="00064073"/>
    <w:p w:rsidR="00064073" w:rsidRDefault="00064073" w:rsidP="00064073">
      <w:r w:rsidRPr="00902F75">
        <w:rPr>
          <w:i/>
        </w:rPr>
        <w:t>Slots Set</w:t>
      </w:r>
      <w:r>
        <w:t>: Powell.Outflow</w:t>
      </w:r>
    </w:p>
    <w:p w:rsidR="00583257" w:rsidRDefault="00583257"/>
    <w:p w:rsidR="00656DF1" w:rsidRPr="00EE5432" w:rsidRDefault="00064073" w:rsidP="00656DF1">
      <w:pPr>
        <w:pStyle w:val="Heading3"/>
      </w:pPr>
      <w:r>
        <w:t>2</w:t>
      </w:r>
      <w:r w:rsidR="00F53D98">
        <w:t xml:space="preserve">. </w:t>
      </w:r>
      <w:r w:rsidR="00656DF1">
        <w:t>Set Lower Elevation Balancing Release</w:t>
      </w:r>
    </w:p>
    <w:p w:rsidR="00656DF1" w:rsidRPr="00EE5432" w:rsidRDefault="00656DF1" w:rsidP="00656DF1">
      <w:r w:rsidRPr="00024EC0">
        <w:rPr>
          <w:i/>
        </w:rPr>
        <w:t>Execution Constraint</w:t>
      </w:r>
      <w:r w:rsidRPr="00EE5432">
        <w:t xml:space="preserve">: </w:t>
      </w:r>
      <w:r>
        <w:t>Tier is Lower Balancing</w:t>
      </w:r>
    </w:p>
    <w:p w:rsidR="00656DF1" w:rsidRPr="00EE5432" w:rsidRDefault="00656DF1" w:rsidP="00656DF1"/>
    <w:p w:rsidR="007B57B9" w:rsidRDefault="00656DF1" w:rsidP="00656DF1">
      <w:r w:rsidRPr="00024EC0">
        <w:rPr>
          <w:i/>
        </w:rPr>
        <w:t>Description</w:t>
      </w:r>
      <w:r w:rsidRPr="00EE5432">
        <w:t>:</w:t>
      </w:r>
      <w:r>
        <w:t xml:space="preserve">  </w:t>
      </w:r>
      <w:r w:rsidR="00583257">
        <w:t>Ensure release is between 7 and 9.5 MAF.  Release according to the set release patterns (interpolate in between limits if release is between 7 and 9.5 MAF).</w:t>
      </w:r>
    </w:p>
    <w:p w:rsidR="00D87E25" w:rsidRDefault="00D87E25" w:rsidP="00656DF1"/>
    <w:p w:rsidR="00656DF1" w:rsidRDefault="00656DF1" w:rsidP="002219DB">
      <w:r w:rsidRPr="00902F75">
        <w:rPr>
          <w:i/>
        </w:rPr>
        <w:t>Slots Set</w:t>
      </w:r>
      <w:r>
        <w:t>: Powell.Outflow</w:t>
      </w:r>
    </w:p>
    <w:p w:rsidR="0017041C" w:rsidRDefault="0017041C" w:rsidP="002219DB"/>
    <w:p w:rsidR="00656DF1" w:rsidRPr="00EE5432" w:rsidRDefault="00064073" w:rsidP="00656DF1">
      <w:pPr>
        <w:pStyle w:val="Heading3"/>
      </w:pPr>
      <w:r>
        <w:t>3</w:t>
      </w:r>
      <w:r w:rsidR="00F53D98">
        <w:t xml:space="preserve">. </w:t>
      </w:r>
      <w:r w:rsidR="00656DF1">
        <w:t>Set Mid-Elevation Release</w:t>
      </w:r>
    </w:p>
    <w:p w:rsidR="00656DF1" w:rsidRPr="00EE5432" w:rsidRDefault="00656DF1" w:rsidP="00656DF1">
      <w:r w:rsidRPr="00024EC0">
        <w:rPr>
          <w:i/>
        </w:rPr>
        <w:t>Execution Constraint</w:t>
      </w:r>
      <w:r w:rsidRPr="00EE5432">
        <w:t xml:space="preserve">: </w:t>
      </w:r>
      <w:r>
        <w:t>Tier is Mid Release</w:t>
      </w:r>
    </w:p>
    <w:p w:rsidR="00656DF1" w:rsidRPr="00EE5432" w:rsidRDefault="00656DF1" w:rsidP="00656DF1"/>
    <w:p w:rsidR="00656DF1" w:rsidRDefault="00656DF1" w:rsidP="00656DF1">
      <w:r w:rsidRPr="00024EC0">
        <w:rPr>
          <w:i/>
        </w:rPr>
        <w:t>Description</w:t>
      </w:r>
      <w:r w:rsidRPr="00EE5432">
        <w:t>:</w:t>
      </w:r>
      <w:r>
        <w:t xml:space="preserve">  </w:t>
      </w:r>
      <w:r w:rsidR="009633C1">
        <w:t xml:space="preserve">If the Mead Jan1 projected </w:t>
      </w:r>
      <w:r w:rsidR="00787F70">
        <w:t>elevation is greater than or equal to 1025 ft then release 7.48 MAF/yr, otherwise release 8.23 MAF/yr.</w:t>
      </w:r>
    </w:p>
    <w:p w:rsidR="00656DF1" w:rsidRDefault="00656DF1" w:rsidP="00656DF1"/>
    <w:p w:rsidR="00656DF1" w:rsidRDefault="00787F70" w:rsidP="00656DF1">
      <w:pPr>
        <w:pStyle w:val="Code"/>
      </w:pPr>
      <w:r>
        <w:t>IF Mead.Elevation[Jan 1] &gt;= 102</w:t>
      </w:r>
      <w:r w:rsidR="00656DF1">
        <w:t>5</w:t>
      </w:r>
    </w:p>
    <w:p w:rsidR="00656DF1" w:rsidRDefault="00656DF1" w:rsidP="00656DF1">
      <w:pPr>
        <w:pStyle w:val="Code"/>
      </w:pPr>
      <w:r>
        <w:tab/>
      </w:r>
      <w:r w:rsidR="00787F70">
        <w:t>Powell.Outflow = 7.48</w:t>
      </w:r>
      <w:r>
        <w:t xml:space="preserve"> MAF/yr</w:t>
      </w:r>
    </w:p>
    <w:p w:rsidR="00787F70" w:rsidRDefault="00787F70" w:rsidP="00656DF1">
      <w:pPr>
        <w:pStyle w:val="Code"/>
      </w:pPr>
      <w:r>
        <w:t>ELSE</w:t>
      </w:r>
    </w:p>
    <w:p w:rsidR="00787F70" w:rsidRDefault="00787F70" w:rsidP="00656DF1">
      <w:pPr>
        <w:pStyle w:val="Code"/>
      </w:pPr>
      <w:r>
        <w:tab/>
        <w:t>Powell.Outflow = 8.23 MAF/yr</w:t>
      </w:r>
    </w:p>
    <w:p w:rsidR="00656DF1" w:rsidRDefault="00656DF1" w:rsidP="00656DF1"/>
    <w:p w:rsidR="00656DF1" w:rsidRDefault="00656DF1" w:rsidP="00656DF1">
      <w:r w:rsidRPr="00902F75">
        <w:rPr>
          <w:i/>
        </w:rPr>
        <w:t>Slots Set</w:t>
      </w:r>
      <w:r>
        <w:t>: Powell.Outflow</w:t>
      </w:r>
    </w:p>
    <w:p w:rsidR="00656DF1" w:rsidRDefault="00656DF1" w:rsidP="002219DB"/>
    <w:p w:rsidR="006716E2" w:rsidRPr="00EE5432" w:rsidRDefault="00064073" w:rsidP="006716E2">
      <w:pPr>
        <w:pStyle w:val="Heading3"/>
      </w:pPr>
      <w:r>
        <w:t>4</w:t>
      </w:r>
      <w:r w:rsidR="00F53D98">
        <w:t xml:space="preserve">. </w:t>
      </w:r>
      <w:r w:rsidR="006716E2">
        <w:t>Set Upper Balancing Release</w:t>
      </w:r>
    </w:p>
    <w:p w:rsidR="006716E2" w:rsidRPr="00EE5432" w:rsidRDefault="006716E2" w:rsidP="006716E2">
      <w:r w:rsidRPr="00024EC0">
        <w:rPr>
          <w:i/>
        </w:rPr>
        <w:t>Execution Constraint</w:t>
      </w:r>
      <w:r w:rsidRPr="00EE5432">
        <w:t xml:space="preserve">: </w:t>
      </w:r>
      <w:r>
        <w:t>Tier is Upper Balancing</w:t>
      </w:r>
    </w:p>
    <w:p w:rsidR="006716E2" w:rsidRPr="00EE5432" w:rsidRDefault="006716E2" w:rsidP="006716E2"/>
    <w:p w:rsidR="00650991" w:rsidRDefault="006716E2" w:rsidP="006716E2">
      <w:r w:rsidRPr="00024EC0">
        <w:rPr>
          <w:i/>
        </w:rPr>
        <w:t>Description</w:t>
      </w:r>
      <w:r w:rsidRPr="00EE5432">
        <w:t>:</w:t>
      </w:r>
      <w:r>
        <w:t xml:space="preserve">  If th</w:t>
      </w:r>
      <w:r w:rsidR="00650991">
        <w:t xml:space="preserve">e Mead </w:t>
      </w:r>
      <w:r w:rsidR="00FC144F">
        <w:t>EDWY</w:t>
      </w:r>
      <w:r w:rsidR="00650991">
        <w:t xml:space="preserve"> elevation is less</w:t>
      </w:r>
      <w:r>
        <w:t xml:space="preserve"> than 1075 ft. then release </w:t>
      </w:r>
      <w:r w:rsidR="00650991">
        <w:t>to equalize Mead and P</w:t>
      </w:r>
      <w:r w:rsidR="00D524EE">
        <w:t>owell storage by the end of the water year. Ensure that the release is between 7 and 9 MAF</w:t>
      </w:r>
      <w:r w:rsidR="00650991">
        <w:t>. I</w:t>
      </w:r>
      <w:r w:rsidR="00370D21">
        <w:t xml:space="preserve">f </w:t>
      </w:r>
      <w:r w:rsidR="00650991">
        <w:t xml:space="preserve">this release is greater than 8.23 then check that Oct, Nov, Dec volume is greater than 2 MAF. </w:t>
      </w:r>
    </w:p>
    <w:p w:rsidR="00F53D98" w:rsidRDefault="00F53D98" w:rsidP="006716E2"/>
    <w:p w:rsidR="00F53D98" w:rsidRDefault="00FC144F" w:rsidP="006716E2">
      <w:r>
        <w:t>If t</w:t>
      </w:r>
      <w:r w:rsidR="00235422">
        <w:t>he</w:t>
      </w:r>
      <w:r>
        <w:t xml:space="preserve"> Mead EDWY</w:t>
      </w:r>
      <w:r w:rsidR="00F53D98">
        <w:t xml:space="preserve"> elevation is greater than or equal to 1075 ft then release 8.23.  In </w:t>
      </w:r>
      <w:r w:rsidR="00235422">
        <w:t>April</w:t>
      </w:r>
      <w:r w:rsidR="00F53D98">
        <w:t xml:space="preserve"> readjustment is allowed, though this rule will not need to check because the </w:t>
      </w:r>
      <w:r w:rsidR="00235422">
        <w:t>Tier</w:t>
      </w:r>
      <w:r w:rsidR="00F53D98">
        <w:t xml:space="preserve"> will have already been reset to equalization if necessary.  If the Mead end of water year elevation projected on April 1 is less than or equal to 1075 ft. and the Powell end of water year projected elevation  is greater t</w:t>
      </w:r>
      <w:r w:rsidR="0017041C">
        <w:t xml:space="preserve">han or equal to 3575 ft. then release to equalize Mead and Powell storage by the end of the water year. Ensure that the release is between 8.23 and 9 MAF. </w:t>
      </w:r>
    </w:p>
    <w:p w:rsidR="00D87E25" w:rsidRDefault="00D87E25" w:rsidP="006716E2"/>
    <w:p w:rsidR="00650991" w:rsidRDefault="00650991" w:rsidP="006716E2"/>
    <w:p w:rsidR="006716E2" w:rsidRPr="008B6AC9" w:rsidRDefault="00656DF1" w:rsidP="008B6AC9">
      <w:pPr>
        <w:pStyle w:val="Code"/>
      </w:pPr>
      <w:r w:rsidRPr="008B6AC9">
        <w:t xml:space="preserve">IF </w:t>
      </w:r>
      <w:r w:rsidR="00650991" w:rsidRPr="008B6AC9">
        <w:t>Mead.Elevation[Jan 1]</w:t>
      </w:r>
      <w:r w:rsidRPr="008B6AC9">
        <w:t xml:space="preserve"> &gt;= 1075</w:t>
      </w:r>
    </w:p>
    <w:p w:rsidR="008B6AC9" w:rsidRDefault="008B6AC9" w:rsidP="008B6AC9">
      <w:pPr>
        <w:pStyle w:val="Code"/>
      </w:pPr>
      <w:r w:rsidRPr="008B6AC9">
        <w:tab/>
      </w:r>
      <w:r w:rsidR="00777957" w:rsidRPr="008B6AC9">
        <w:t xml:space="preserve">IF </w:t>
      </w:r>
      <w:r w:rsidR="00E62DC3" w:rsidRPr="008B6AC9">
        <w:t>(</w:t>
      </w:r>
      <w:r w:rsidR="00777957" w:rsidRPr="008B6AC9">
        <w:t>Month is April or later</w:t>
      </w:r>
      <w:r w:rsidR="00E62DC3" w:rsidRPr="008B6AC9">
        <w:t>)</w:t>
      </w:r>
      <w:r w:rsidRPr="008B6AC9">
        <w:t xml:space="preserve"> and </w:t>
      </w:r>
    </w:p>
    <w:p w:rsidR="008B6AC9" w:rsidRDefault="008B6AC9" w:rsidP="008B6AC9">
      <w:pPr>
        <w:pStyle w:val="Code"/>
      </w:pPr>
      <w:r w:rsidRPr="008B6AC9">
        <w:tab/>
        <w:t xml:space="preserve"> </w:t>
      </w:r>
      <w:r w:rsidR="00E62DC3" w:rsidRPr="008B6AC9">
        <w:t>(</w:t>
      </w:r>
      <w:r w:rsidR="00777957" w:rsidRPr="008B6AC9">
        <w:t>Mead.ProjectedElevation[Jan 1] &gt;= 1075</w:t>
      </w:r>
      <w:r w:rsidR="00E62DC3" w:rsidRPr="008B6AC9">
        <w:t>)</w:t>
      </w:r>
      <w:r w:rsidRPr="008B6AC9">
        <w:t xml:space="preserve"> and</w:t>
      </w:r>
    </w:p>
    <w:p w:rsidR="00777957" w:rsidRPr="008B6AC9" w:rsidRDefault="008B6AC9" w:rsidP="008B6AC9">
      <w:pPr>
        <w:pStyle w:val="Code"/>
      </w:pPr>
      <w:r w:rsidRPr="008B6AC9">
        <w:tab/>
        <w:t xml:space="preserve"> </w:t>
      </w:r>
      <w:r w:rsidR="00E62DC3" w:rsidRPr="008B6AC9">
        <w:t>(</w:t>
      </w:r>
      <w:r w:rsidR="00777957" w:rsidRPr="008B6AC9">
        <w:t>Powell.ProjectedElevation[Jan 1] &gt;= 3575</w:t>
      </w:r>
      <w:r w:rsidR="00E62DC3" w:rsidRPr="008B6AC9">
        <w:t>)</w:t>
      </w:r>
    </w:p>
    <w:p w:rsidR="00777957" w:rsidRPr="008B6AC9" w:rsidRDefault="008B6AC9" w:rsidP="008B6AC9">
      <w:pPr>
        <w:pStyle w:val="Code"/>
      </w:pPr>
      <w:r w:rsidRPr="008B6AC9">
        <w:tab/>
      </w:r>
      <w:r w:rsidR="00E62DC3" w:rsidRPr="008B6AC9">
        <w:t>EnsureReleaseLimits(EqualizationRelease(),8.23,9)</w:t>
      </w:r>
    </w:p>
    <w:p w:rsidR="008B6AC9" w:rsidRPr="008B6AC9" w:rsidRDefault="008B6AC9" w:rsidP="008B6AC9">
      <w:pPr>
        <w:pStyle w:val="Code"/>
      </w:pPr>
      <w:r w:rsidRPr="008B6AC9">
        <w:t>ELSE</w:t>
      </w:r>
    </w:p>
    <w:p w:rsidR="008B6AC9" w:rsidRPr="008B6AC9" w:rsidRDefault="008B6AC9" w:rsidP="008B6AC9">
      <w:pPr>
        <w:pStyle w:val="Code"/>
      </w:pPr>
      <w:r w:rsidRPr="008B6AC9">
        <w:tab/>
        <w:t>Powell.Outflow = 8.23 MAF/yr</w:t>
      </w:r>
    </w:p>
    <w:p w:rsidR="00FC144F" w:rsidRPr="008B6AC9" w:rsidRDefault="00FC144F" w:rsidP="008B6AC9">
      <w:pPr>
        <w:pStyle w:val="Code"/>
      </w:pPr>
      <w:r w:rsidRPr="008B6AC9">
        <w:t>ELSE IF</w:t>
      </w:r>
      <w:r w:rsidR="008B6AC9" w:rsidRPr="008B6AC9">
        <w:t xml:space="preserve"> Required Powell Release &gt; 9.0 MAF</w:t>
      </w:r>
    </w:p>
    <w:p w:rsidR="008B6AC9" w:rsidRPr="008B6AC9" w:rsidRDefault="008B6AC9" w:rsidP="008B6AC9">
      <w:pPr>
        <w:pStyle w:val="Code"/>
      </w:pPr>
      <w:r w:rsidRPr="008B6AC9">
        <w:tab/>
        <w:t>Powell.Outflow = 9 MAF/yr</w:t>
      </w:r>
    </w:p>
    <w:p w:rsidR="008B6AC9" w:rsidRPr="008B6AC9" w:rsidRDefault="008B6AC9" w:rsidP="008B6AC9">
      <w:pPr>
        <w:pStyle w:val="Code"/>
      </w:pPr>
      <w:r w:rsidRPr="008B6AC9">
        <w:t>ELSE IF Required Powell Release &lt; 7.0 MAF</w:t>
      </w:r>
    </w:p>
    <w:p w:rsidR="008B6AC9" w:rsidRPr="008B6AC9" w:rsidRDefault="008B6AC9" w:rsidP="008B6AC9">
      <w:pPr>
        <w:pStyle w:val="Code"/>
      </w:pPr>
      <w:r w:rsidRPr="008B6AC9">
        <w:tab/>
        <w:t>Powell.Outflow = 7 MAF/yr</w:t>
      </w:r>
    </w:p>
    <w:p w:rsidR="008B6AC9" w:rsidRPr="008B6AC9" w:rsidRDefault="008B6AC9" w:rsidP="008B6AC9">
      <w:pPr>
        <w:pStyle w:val="Code"/>
      </w:pPr>
      <w:r w:rsidRPr="008B6AC9">
        <w:t>ELSE IF Required Powell Release &gt; 8.23 MAF</w:t>
      </w:r>
    </w:p>
    <w:p w:rsidR="008B6AC9" w:rsidRPr="008B6AC9" w:rsidRDefault="008B6AC9" w:rsidP="008B6AC9">
      <w:pPr>
        <w:pStyle w:val="Code"/>
      </w:pPr>
      <w:r w:rsidRPr="008B6AC9">
        <w:tab/>
        <w:t>Check OND total Release</w:t>
      </w:r>
    </w:p>
    <w:p w:rsidR="008B6AC9" w:rsidRPr="008B6AC9" w:rsidRDefault="008B6AC9" w:rsidP="008B6AC9">
      <w:pPr>
        <w:pStyle w:val="Code"/>
      </w:pPr>
      <w:r w:rsidRPr="008B6AC9">
        <w:t>ELSE</w:t>
      </w:r>
    </w:p>
    <w:p w:rsidR="008B6AC9" w:rsidRPr="008B6AC9" w:rsidRDefault="008B6AC9" w:rsidP="008B6AC9">
      <w:pPr>
        <w:pStyle w:val="Code"/>
      </w:pPr>
      <w:r w:rsidRPr="008B6AC9">
        <w:tab/>
        <w:t>Powell.Outlfow = Required Powell Release</w:t>
      </w:r>
    </w:p>
    <w:p w:rsidR="006716E2" w:rsidRDefault="006716E2" w:rsidP="006716E2"/>
    <w:p w:rsidR="006716E2" w:rsidRDefault="006716E2" w:rsidP="006716E2">
      <w:r w:rsidRPr="00902F75">
        <w:rPr>
          <w:i/>
        </w:rPr>
        <w:t>Slots Set</w:t>
      </w:r>
      <w:r>
        <w:t>: Powell.Outflow</w:t>
      </w:r>
    </w:p>
    <w:p w:rsidR="006716E2" w:rsidRDefault="006716E2" w:rsidP="002219DB"/>
    <w:p w:rsidR="003C6365" w:rsidRPr="00EE5432" w:rsidRDefault="00064073" w:rsidP="003C6365">
      <w:pPr>
        <w:pStyle w:val="Heading3"/>
      </w:pPr>
      <w:r>
        <w:t>5</w:t>
      </w:r>
      <w:r w:rsidR="00F53D98">
        <w:t xml:space="preserve">. </w:t>
      </w:r>
      <w:r w:rsidR="003C6365">
        <w:t xml:space="preserve">Set </w:t>
      </w:r>
      <w:r w:rsidR="00522A04">
        <w:t>Equalization</w:t>
      </w:r>
      <w:r w:rsidR="003C6365">
        <w:t xml:space="preserve"> Release</w:t>
      </w:r>
    </w:p>
    <w:p w:rsidR="003C6365" w:rsidRPr="00EE5432" w:rsidRDefault="003C6365" w:rsidP="003C6365">
      <w:r w:rsidRPr="00024EC0">
        <w:rPr>
          <w:i/>
        </w:rPr>
        <w:t>Execution Constraint</w:t>
      </w:r>
      <w:r w:rsidRPr="00EE5432">
        <w:t xml:space="preserve">: </w:t>
      </w:r>
      <w:r w:rsidR="003456D2">
        <w:t>T</w:t>
      </w:r>
      <w:r w:rsidR="00522A04">
        <w:t>i</w:t>
      </w:r>
      <w:r w:rsidR="003456D2">
        <w:t>e</w:t>
      </w:r>
      <w:r w:rsidR="00522A04">
        <w:t xml:space="preserve">r is </w:t>
      </w:r>
      <w:r w:rsidR="00235422">
        <w:t>Equalization</w:t>
      </w:r>
    </w:p>
    <w:p w:rsidR="003C6365" w:rsidRPr="00EE5432" w:rsidRDefault="003C6365" w:rsidP="003C6365"/>
    <w:p w:rsidR="003C6365" w:rsidRDefault="003C6365" w:rsidP="003C6365">
      <w:r w:rsidRPr="00024EC0">
        <w:rPr>
          <w:i/>
        </w:rPr>
        <w:t>Description</w:t>
      </w:r>
      <w:r w:rsidRPr="00EE5432">
        <w:t>:</w:t>
      </w:r>
      <w:r>
        <w:t xml:space="preserve">  </w:t>
      </w:r>
      <w:r w:rsidR="003456D2">
        <w:t xml:space="preserve">Release steady to meet </w:t>
      </w:r>
      <w:r w:rsidR="00E726A8">
        <w:t xml:space="preserve">the </w:t>
      </w:r>
      <w:r w:rsidR="003456D2">
        <w:t xml:space="preserve">Equalization </w:t>
      </w:r>
      <w:r w:rsidR="00E726A8">
        <w:t>level</w:t>
      </w:r>
      <w:r w:rsidR="000B774A">
        <w:t xml:space="preserve"> at end of water year or s</w:t>
      </w:r>
      <w:r w:rsidR="00E726A8">
        <w:t>uch that Powell and M</w:t>
      </w:r>
      <w:r w:rsidR="003456D2">
        <w:t>ead storage are equa</w:t>
      </w:r>
      <w:r w:rsidR="005E422B">
        <w:t xml:space="preserve">l by the end of the water year.  Release above </w:t>
      </w:r>
      <w:r w:rsidR="005E422B">
        <w:lastRenderedPageBreak/>
        <w:t>this amount if nec</w:t>
      </w:r>
      <w:r w:rsidR="00DA473C">
        <w:t>essary to avoid spills. If this release causes Mead elevation to be less than 1105 ft then increase release until the first of the following is met:</w:t>
      </w:r>
    </w:p>
    <w:p w:rsidR="00E62DC3" w:rsidRDefault="00E62DC3" w:rsidP="003C6365"/>
    <w:p w:rsidR="00DA473C" w:rsidRDefault="00DA473C" w:rsidP="00DA473C">
      <w:pPr>
        <w:pStyle w:val="ListParagraph"/>
        <w:numPr>
          <w:ilvl w:val="0"/>
          <w:numId w:val="9"/>
        </w:numPr>
      </w:pPr>
      <w:r>
        <w:t>Powell Storage equals Mead storage at the end of the water year</w:t>
      </w:r>
    </w:p>
    <w:p w:rsidR="00DA473C" w:rsidRDefault="00DA473C" w:rsidP="00DA473C">
      <w:pPr>
        <w:pStyle w:val="ListParagraph"/>
        <w:numPr>
          <w:ilvl w:val="0"/>
          <w:numId w:val="9"/>
        </w:numPr>
      </w:pPr>
      <w:r>
        <w:t>Mead elevation is 1105 ft. at the end of the water year</w:t>
      </w:r>
    </w:p>
    <w:p w:rsidR="00777957" w:rsidRDefault="00DA473C" w:rsidP="00777957">
      <w:pPr>
        <w:pStyle w:val="ListParagraph"/>
        <w:numPr>
          <w:ilvl w:val="0"/>
          <w:numId w:val="9"/>
        </w:numPr>
      </w:pPr>
      <w:r>
        <w:t>Powell Elevation at the end of the water year is 20 feet below the equalization level.</w:t>
      </w:r>
    </w:p>
    <w:p w:rsidR="00D87E25" w:rsidRDefault="00D87E25" w:rsidP="00DA473C"/>
    <w:p w:rsidR="00DA473C" w:rsidRDefault="00DA473C" w:rsidP="00605952">
      <w:pPr>
        <w:pStyle w:val="Code"/>
      </w:pPr>
    </w:p>
    <w:p w:rsidR="003C6365" w:rsidRDefault="003C6365" w:rsidP="003C6365"/>
    <w:p w:rsidR="003C6365" w:rsidRDefault="003C6365" w:rsidP="002219DB">
      <w:r w:rsidRPr="00902F75">
        <w:rPr>
          <w:i/>
        </w:rPr>
        <w:t>Slots Set</w:t>
      </w:r>
      <w:r>
        <w:t>: Powell.Outflow</w:t>
      </w:r>
    </w:p>
    <w:p w:rsidR="003C6365" w:rsidRPr="00EE5432" w:rsidRDefault="003C6365" w:rsidP="002219DB"/>
    <w:p w:rsidR="002219DB" w:rsidRPr="00EE5432" w:rsidRDefault="00064073" w:rsidP="002219DB">
      <w:pPr>
        <w:pStyle w:val="Heading3"/>
      </w:pPr>
      <w:r>
        <w:t>6</w:t>
      </w:r>
      <w:r w:rsidR="00F53D98">
        <w:t xml:space="preserve">. </w:t>
      </w:r>
      <w:r w:rsidR="00902F75">
        <w:t xml:space="preserve">Reset Upper </w:t>
      </w:r>
      <w:r w:rsidR="00B93514">
        <w:t>Tier</w:t>
      </w:r>
      <w:r w:rsidR="00902F75">
        <w:t xml:space="preserve"> to Equalization</w:t>
      </w:r>
    </w:p>
    <w:p w:rsidR="002219DB" w:rsidRPr="00EE5432" w:rsidRDefault="002219DB" w:rsidP="002219DB">
      <w:r w:rsidRPr="00024EC0">
        <w:rPr>
          <w:i/>
        </w:rPr>
        <w:t>Execution Constraint</w:t>
      </w:r>
      <w:r w:rsidRPr="00EE5432">
        <w:t xml:space="preserve">: </w:t>
      </w:r>
      <w:r w:rsidR="00DD3D0B">
        <w:t xml:space="preserve">April and </w:t>
      </w:r>
      <w:r w:rsidR="00902F75">
        <w:t xml:space="preserve">Currently in Upper Balancing </w:t>
      </w:r>
      <w:r w:rsidR="00235422">
        <w:t>Tier</w:t>
      </w:r>
    </w:p>
    <w:p w:rsidR="002219DB" w:rsidRPr="00EE5432" w:rsidRDefault="002219DB" w:rsidP="002219DB"/>
    <w:p w:rsidR="00902F75" w:rsidRDefault="002219DB" w:rsidP="002219DB">
      <w:r w:rsidRPr="00024EC0">
        <w:rPr>
          <w:i/>
        </w:rPr>
        <w:t>Description</w:t>
      </w:r>
      <w:r w:rsidRPr="00EE5432">
        <w:t>:</w:t>
      </w:r>
      <w:r w:rsidR="00902F75">
        <w:t xml:space="preserve">  If the current </w:t>
      </w:r>
      <w:r w:rsidR="00235422">
        <w:t>tier</w:t>
      </w:r>
      <w:r w:rsidR="00902F75">
        <w:t xml:space="preserve"> is upper and the projected Powell elevation on April 1 is</w:t>
      </w:r>
      <w:r w:rsidR="009A5246">
        <w:t xml:space="preserve"> greater than equalization level then </w:t>
      </w:r>
      <w:r w:rsidR="003C6365">
        <w:t xml:space="preserve">change to Equalization </w:t>
      </w:r>
      <w:r w:rsidR="00235422">
        <w:t>tier</w:t>
      </w:r>
      <w:r w:rsidR="003C6365">
        <w:t>.</w:t>
      </w:r>
    </w:p>
    <w:p w:rsidR="00902F75" w:rsidRDefault="00902F75" w:rsidP="002219DB"/>
    <w:p w:rsidR="002219DB" w:rsidRPr="00EE5432" w:rsidRDefault="00902F75" w:rsidP="002219DB">
      <w:r w:rsidRPr="00902F75">
        <w:rPr>
          <w:i/>
        </w:rPr>
        <w:t>Slots Set</w:t>
      </w:r>
      <w:r>
        <w:t>: Powell.Outflow</w:t>
      </w:r>
    </w:p>
    <w:p w:rsidR="002219DB" w:rsidRPr="00EE5432" w:rsidRDefault="00F53D98" w:rsidP="002219DB">
      <w:pPr>
        <w:pStyle w:val="Heading3"/>
      </w:pPr>
      <w:r>
        <w:t xml:space="preserve">6. </w:t>
      </w:r>
      <w:r w:rsidR="00902F75">
        <w:t xml:space="preserve">Set Release </w:t>
      </w:r>
      <w:r w:rsidR="00B93514">
        <w:t>Tier</w:t>
      </w:r>
    </w:p>
    <w:p w:rsidR="002219DB" w:rsidRPr="00EE5432" w:rsidRDefault="002219DB" w:rsidP="002219DB">
      <w:r w:rsidRPr="00024EC0">
        <w:rPr>
          <w:i/>
        </w:rPr>
        <w:t>Execution Constraint</w:t>
      </w:r>
      <w:r w:rsidRPr="00EE5432">
        <w:t xml:space="preserve">: </w:t>
      </w:r>
      <w:r w:rsidR="00902F75">
        <w:t>August</w:t>
      </w:r>
    </w:p>
    <w:p w:rsidR="002219DB" w:rsidRPr="00EE5432" w:rsidRDefault="002219DB" w:rsidP="002219DB"/>
    <w:p w:rsidR="002219DB" w:rsidRDefault="002219DB" w:rsidP="002219DB">
      <w:r w:rsidRPr="00024EC0">
        <w:rPr>
          <w:i/>
        </w:rPr>
        <w:t>Description</w:t>
      </w:r>
      <w:r w:rsidRPr="00EE5432">
        <w:t xml:space="preserve">: </w:t>
      </w:r>
      <w:r w:rsidR="00902F75">
        <w:t xml:space="preserve">Sets the Powell Release </w:t>
      </w:r>
      <w:r w:rsidR="00235422">
        <w:t>Tier</w:t>
      </w:r>
      <w:r w:rsidR="00902F75">
        <w:t xml:space="preserve"> </w:t>
      </w:r>
      <w:r w:rsidR="00DA4222">
        <w:t>for the next water year</w:t>
      </w:r>
      <w:r w:rsidR="006651B8">
        <w:t>. First determine the Jan1 el</w:t>
      </w:r>
      <w:r w:rsidR="00522A04">
        <w:t xml:space="preserve">evation then look up </w:t>
      </w:r>
      <w:r w:rsidR="00235422">
        <w:t>tier</w:t>
      </w:r>
      <w:r w:rsidR="00522A04">
        <w:t xml:space="preserve"> from</w:t>
      </w:r>
      <w:r w:rsidR="00840D81">
        <w:t xml:space="preserve"> </w:t>
      </w:r>
      <w:r w:rsidR="007232BF">
        <w:fldChar w:fldCharType="begin"/>
      </w:r>
      <w:r w:rsidR="00840D81">
        <w:instrText xml:space="preserve"> REF _Ref267407299 \h </w:instrText>
      </w:r>
      <w:r w:rsidR="007232BF">
        <w:fldChar w:fldCharType="separate"/>
      </w:r>
      <w:r w:rsidR="00840D81" w:rsidRPr="00583257">
        <w:t xml:space="preserve">Table </w:t>
      </w:r>
      <w:r w:rsidR="00840D81">
        <w:rPr>
          <w:b/>
          <w:noProof/>
        </w:rPr>
        <w:t>3</w:t>
      </w:r>
      <w:r w:rsidR="007232BF">
        <w:fldChar w:fldCharType="end"/>
      </w:r>
      <w:r w:rsidR="00522A04">
        <w:t xml:space="preserve">. </w:t>
      </w:r>
    </w:p>
    <w:p w:rsidR="002219DB" w:rsidRPr="00EE5432" w:rsidRDefault="002219DB" w:rsidP="002219DB"/>
    <w:p w:rsidR="00522A04" w:rsidRDefault="006651B8" w:rsidP="00522A04">
      <w:pPr>
        <w:pStyle w:val="Code"/>
        <w:ind w:firstLine="360"/>
      </w:pPr>
      <w:r>
        <w:t xml:space="preserve">Jan1Elevation = </w:t>
      </w:r>
      <w:r w:rsidR="00DA4222">
        <w:t>SumFlowsToVolume(August to December Inflow)  -  Aug and Sep</w:t>
      </w:r>
      <w:r w:rsidR="003456D2">
        <w:t xml:space="preserve"> outflow from current t</w:t>
      </w:r>
      <w:r w:rsidR="00DA4222">
        <w:t>i</w:t>
      </w:r>
      <w:r w:rsidR="003456D2">
        <w:t>e</w:t>
      </w:r>
      <w:r w:rsidR="00DA4222">
        <w:t xml:space="preserve">r – Fixed Oct to Dec Release. </w:t>
      </w:r>
      <w:r>
        <w:t xml:space="preserve"> </w:t>
      </w:r>
    </w:p>
    <w:p w:rsidR="00583257" w:rsidRDefault="00583257" w:rsidP="002219DB">
      <w:pPr>
        <w:rPr>
          <w:i/>
        </w:rPr>
      </w:pPr>
    </w:p>
    <w:p w:rsidR="002219DB" w:rsidRPr="00EE5432" w:rsidRDefault="002219DB" w:rsidP="002219DB">
      <w:r w:rsidRPr="00024EC0">
        <w:rPr>
          <w:i/>
        </w:rPr>
        <w:t>Slots Set</w:t>
      </w:r>
      <w:r w:rsidRPr="00EE5432">
        <w:t xml:space="preserve">: </w:t>
      </w:r>
      <w:r>
        <w:t>Powell</w:t>
      </w:r>
      <w:r w:rsidR="00902F75">
        <w:t xml:space="preserve">.Outflow </w:t>
      </w:r>
    </w:p>
    <w:p w:rsidR="002219DB" w:rsidRDefault="002219DB"/>
    <w:p w:rsidR="00000000" w:rsidRDefault="00064073">
      <w:pPr>
        <w:pStyle w:val="Heading3"/>
      </w:pPr>
      <w:r>
        <w:t xml:space="preserve">7. </w:t>
      </w:r>
      <w:r w:rsidR="0099503E">
        <w:t>Project Elevations</w:t>
      </w:r>
    </w:p>
    <w:p w:rsidR="00C17D76" w:rsidRPr="00EE5432" w:rsidRDefault="00C17D76" w:rsidP="00C17D76">
      <w:r w:rsidRPr="00024EC0">
        <w:rPr>
          <w:i/>
        </w:rPr>
        <w:t>Execution Constraint</w:t>
      </w:r>
      <w:r w:rsidRPr="00EE5432">
        <w:t xml:space="preserve">: </w:t>
      </w:r>
      <w:r>
        <w:t>August</w:t>
      </w:r>
    </w:p>
    <w:p w:rsidR="00C17D76" w:rsidRPr="00EE5432" w:rsidRDefault="00C17D76" w:rsidP="00C17D76"/>
    <w:p w:rsidR="00C17D76" w:rsidRDefault="00C17D76" w:rsidP="00C17D76">
      <w:r w:rsidRPr="00024EC0">
        <w:rPr>
          <w:i/>
        </w:rPr>
        <w:t>Description</w:t>
      </w:r>
      <w:r w:rsidRPr="00EE5432">
        <w:t xml:space="preserve">: </w:t>
      </w:r>
      <w:r>
        <w:t>Projects Powell and Mead Elevation/Storage assuming an 8.23 release pattern.</w:t>
      </w:r>
    </w:p>
    <w:p w:rsidR="00C17D76" w:rsidRPr="00C17D76" w:rsidRDefault="00C17D76" w:rsidP="00C17D76"/>
    <w:p w:rsidR="00FA3136" w:rsidRDefault="00FA3136">
      <w:pPr>
        <w:spacing w:after="200" w:line="276" w:lineRule="auto"/>
        <w:rPr>
          <w:rFonts w:ascii="Arial" w:eastAsiaTheme="majorEastAsia" w:hAnsi="Arial" w:cstheme="majorBidi"/>
          <w:b/>
          <w:bCs/>
          <w:iCs/>
          <w:sz w:val="32"/>
          <w:szCs w:val="32"/>
        </w:rPr>
      </w:pPr>
      <w:r>
        <w:br w:type="page"/>
      </w:r>
    </w:p>
    <w:p w:rsidR="00522A04" w:rsidRDefault="000B774A" w:rsidP="000B774A">
      <w:pPr>
        <w:pStyle w:val="Heading2"/>
      </w:pPr>
      <w:r>
        <w:lastRenderedPageBreak/>
        <w:t>Functions</w:t>
      </w:r>
    </w:p>
    <w:p w:rsidR="00B75668" w:rsidRDefault="00B75668" w:rsidP="000B774A">
      <w:pPr>
        <w:pStyle w:val="Heading3"/>
      </w:pPr>
      <w:r>
        <w:t>EqualizationRelease</w:t>
      </w:r>
      <w:r w:rsidR="0017041C">
        <w:t>()</w:t>
      </w:r>
    </w:p>
    <w:p w:rsidR="00B75668" w:rsidRDefault="00B75668" w:rsidP="00B75668">
      <w:r>
        <w:t xml:space="preserve">Release to equalize </w:t>
      </w:r>
      <w:r w:rsidR="00235422">
        <w:t>Powell</w:t>
      </w:r>
      <w:r>
        <w:t xml:space="preserve"> and mead storage at</w:t>
      </w:r>
      <w:r w:rsidR="00DA473C">
        <w:t xml:space="preserve"> the end of the WY</w:t>
      </w:r>
    </w:p>
    <w:p w:rsidR="00DA473C" w:rsidRDefault="00DA473C" w:rsidP="00B75668"/>
    <w:p w:rsidR="00DA473C" w:rsidRDefault="00605952" w:rsidP="00DA473C">
      <w:pPr>
        <w:pStyle w:val="Code"/>
      </w:pPr>
      <w:r>
        <w:t>(</w:t>
      </w:r>
      <w:r w:rsidR="00DA473C">
        <w:t>Powell.Storage –</w:t>
      </w:r>
      <w:r>
        <w:t xml:space="preserve"> Mead.Storage</w:t>
      </w:r>
      <w:r w:rsidR="00DA450E">
        <w:t xml:space="preserve"> </w:t>
      </w:r>
      <w:r>
        <w:t>+</w:t>
      </w:r>
      <w:r w:rsidR="00DA450E">
        <w:t xml:space="preserve"> </w:t>
      </w:r>
      <w:r>
        <w:t>LossesBetween-GainsBetween)/MonthsUntilEndWY</w:t>
      </w:r>
    </w:p>
    <w:p w:rsidR="003D1C73" w:rsidRDefault="003D1C73" w:rsidP="00522A04">
      <w:pPr>
        <w:pStyle w:val="Heading3"/>
      </w:pPr>
    </w:p>
    <w:p w:rsidR="00C17D76" w:rsidRDefault="00C17D76" w:rsidP="00C17D76">
      <w:pPr>
        <w:pStyle w:val="Heading3"/>
      </w:pPr>
      <w:r>
        <w:t>ProjectPowellElevation()</w:t>
      </w:r>
    </w:p>
    <w:p w:rsidR="00C17D76" w:rsidRDefault="00C17D76" w:rsidP="00C17D76">
      <w:r>
        <w:t xml:space="preserve">Assume an 8.23 release pattern.  </w:t>
      </w:r>
    </w:p>
    <w:p w:rsidR="00C17D76" w:rsidRDefault="00C17D76" w:rsidP="00C17D76"/>
    <w:p w:rsidR="00C17D76" w:rsidRDefault="00FC144F" w:rsidP="00C17D76">
      <w:pPr>
        <w:pStyle w:val="Code"/>
      </w:pPr>
      <w:r>
        <w:t>StorageToElevation(ElevationToStorage(Powell)+SumFlowsToVolume(Powell.Inflow)-Sum(Powell.ReleaseVolume))</w:t>
      </w:r>
    </w:p>
    <w:p w:rsidR="00C17D76" w:rsidRDefault="00C17D76" w:rsidP="00C17D76"/>
    <w:p w:rsidR="00C17D76" w:rsidRDefault="00C17D76" w:rsidP="00C17D76">
      <w:pPr>
        <w:pStyle w:val="Heading3"/>
      </w:pPr>
      <w:r>
        <w:t>ProjectMeadElevation()</w:t>
      </w:r>
    </w:p>
    <w:p w:rsidR="00C17D76" w:rsidRDefault="00C17D76" w:rsidP="00C17D76">
      <w:r>
        <w:t>TBD</w:t>
      </w:r>
    </w:p>
    <w:p w:rsidR="00C17D76" w:rsidRPr="00C17D76" w:rsidRDefault="00C17D76" w:rsidP="00C17D76"/>
    <w:p w:rsidR="000B774A" w:rsidRDefault="0017041C" w:rsidP="00522A04">
      <w:pPr>
        <w:pStyle w:val="Heading3"/>
      </w:pPr>
      <w:r>
        <w:t>EnsureReleaseLimits(Release, ul, ll)</w:t>
      </w:r>
    </w:p>
    <w:p w:rsidR="00C17D76" w:rsidRDefault="0017041C" w:rsidP="002E1EC4">
      <w:r>
        <w:t xml:space="preserve">Ensure that a </w:t>
      </w:r>
      <w:r w:rsidR="00235422">
        <w:t>number</w:t>
      </w:r>
      <w:r>
        <w:t xml:space="preserve"> is between ul and ll, if not set it to the respective limit. </w:t>
      </w:r>
    </w:p>
    <w:p w:rsidR="00C17D76" w:rsidRDefault="00C17D76" w:rsidP="002E1EC4"/>
    <w:p w:rsidR="00DA450E" w:rsidRDefault="00DA450E">
      <w:pPr>
        <w:spacing w:after="200" w:line="276" w:lineRule="auto"/>
        <w:rPr>
          <w:rFonts w:ascii="Arial" w:eastAsiaTheme="majorEastAsia" w:hAnsi="Arial" w:cstheme="majorBidi"/>
          <w:b/>
          <w:bCs/>
          <w:iCs/>
          <w:sz w:val="32"/>
          <w:szCs w:val="32"/>
        </w:rPr>
      </w:pPr>
      <w:r>
        <w:br w:type="page"/>
      </w:r>
    </w:p>
    <w:p w:rsidR="00C17D76" w:rsidRDefault="00C17D76" w:rsidP="00C17D76">
      <w:pPr>
        <w:pStyle w:val="Heading2"/>
      </w:pPr>
      <w:r>
        <w:t>Midterm Model Questions</w:t>
      </w:r>
    </w:p>
    <w:p w:rsidR="00C17D76" w:rsidRDefault="00C17D76" w:rsidP="00C17D76">
      <w:pPr>
        <w:pStyle w:val="ListParagraph"/>
        <w:numPr>
          <w:ilvl w:val="0"/>
          <w:numId w:val="12"/>
        </w:numPr>
      </w:pPr>
      <w:r>
        <w:t xml:space="preserve">How to deal with “projected” Mead elevation/storage (calculate or input)?  If calculated, should mead and demands below be modeled explicitly from the beginning (i.e. start with the expanded 24 month study)?  </w:t>
      </w:r>
    </w:p>
    <w:p w:rsidR="00C17D76" w:rsidRDefault="00C17D76" w:rsidP="00C17D76">
      <w:pPr>
        <w:pStyle w:val="ListParagraph"/>
      </w:pPr>
    </w:p>
    <w:p w:rsidR="00C17D76" w:rsidRDefault="00C17D76" w:rsidP="00C17D76">
      <w:pPr>
        <w:pStyle w:val="ListParagraph"/>
      </w:pPr>
      <w:r>
        <w:t>Rick: My guess is that the expanded 24-month study model should be the source for the demands for the mid-term model and that these demands would be static for all traces.  If the mid-term model runs out beyond the 24-month study then averages should be used and LC would provide those inputs.</w:t>
      </w:r>
    </w:p>
    <w:p w:rsidR="00C17D76" w:rsidRDefault="00C17D76" w:rsidP="00C17D76">
      <w:pPr>
        <w:pStyle w:val="ListParagraph"/>
      </w:pPr>
    </w:p>
    <w:p w:rsidR="00FC144F" w:rsidRDefault="00FC144F" w:rsidP="00FC144F">
      <w:pPr>
        <w:pStyle w:val="ListParagraph"/>
        <w:numPr>
          <w:ilvl w:val="0"/>
          <w:numId w:val="12"/>
        </w:numPr>
      </w:pPr>
      <w:r>
        <w:t xml:space="preserve">Will the 24-Month study results be input into the Midterm model?  </w:t>
      </w:r>
    </w:p>
    <w:p w:rsidR="00C17D76" w:rsidRDefault="00C17D76" w:rsidP="00C17D76">
      <w:pPr>
        <w:pStyle w:val="ListParagraph"/>
      </w:pPr>
    </w:p>
    <w:p w:rsidR="00C17D76" w:rsidRPr="002E1EC4" w:rsidRDefault="00C17D76" w:rsidP="00C17D76">
      <w:pPr>
        <w:pStyle w:val="ListParagraph"/>
      </w:pPr>
    </w:p>
    <w:sectPr w:rsidR="00C17D76" w:rsidRPr="002E1EC4" w:rsidSect="00101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344F"/>
    <w:multiLevelType w:val="hybridMultilevel"/>
    <w:tmpl w:val="F6C80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74760"/>
    <w:multiLevelType w:val="hybridMultilevel"/>
    <w:tmpl w:val="1EE80584"/>
    <w:lvl w:ilvl="0" w:tplc="B548274E">
      <w:start w:val="2"/>
      <w:numFmt w:val="bullet"/>
      <w:lvlText w:val="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62FEC"/>
    <w:multiLevelType w:val="hybridMultilevel"/>
    <w:tmpl w:val="4024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A7406"/>
    <w:multiLevelType w:val="hybridMultilevel"/>
    <w:tmpl w:val="F83E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E562F"/>
    <w:multiLevelType w:val="hybridMultilevel"/>
    <w:tmpl w:val="48707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B7901"/>
    <w:multiLevelType w:val="hybridMultilevel"/>
    <w:tmpl w:val="DB5E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43C36"/>
    <w:multiLevelType w:val="hybridMultilevel"/>
    <w:tmpl w:val="064853BE"/>
    <w:lvl w:ilvl="0" w:tplc="3ED4CAFE">
      <w:start w:val="2"/>
      <w:numFmt w:val="bullet"/>
      <w:lvlText w:val=""/>
      <w:lvlJc w:val="left"/>
      <w:pPr>
        <w:ind w:left="720" w:hanging="360"/>
      </w:pPr>
      <w:rPr>
        <w:rFonts w:ascii="Wingdings" w:eastAsia="Cambr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8735BA"/>
    <w:multiLevelType w:val="hybridMultilevel"/>
    <w:tmpl w:val="BC8A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36919"/>
    <w:multiLevelType w:val="hybridMultilevel"/>
    <w:tmpl w:val="857C7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591A1E"/>
    <w:multiLevelType w:val="hybridMultilevel"/>
    <w:tmpl w:val="35A8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574103"/>
    <w:multiLevelType w:val="hybridMultilevel"/>
    <w:tmpl w:val="89EA7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07582"/>
    <w:multiLevelType w:val="hybridMultilevel"/>
    <w:tmpl w:val="76CE4E4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2219DB"/>
    <w:rsid w:val="00023A08"/>
    <w:rsid w:val="00064073"/>
    <w:rsid w:val="000930B8"/>
    <w:rsid w:val="000B16B9"/>
    <w:rsid w:val="000B774A"/>
    <w:rsid w:val="00101C88"/>
    <w:rsid w:val="00110941"/>
    <w:rsid w:val="00147462"/>
    <w:rsid w:val="0017041C"/>
    <w:rsid w:val="002219DB"/>
    <w:rsid w:val="00235422"/>
    <w:rsid w:val="00273B51"/>
    <w:rsid w:val="00291450"/>
    <w:rsid w:val="002B2E36"/>
    <w:rsid w:val="002E1EC4"/>
    <w:rsid w:val="002F7C73"/>
    <w:rsid w:val="003456D2"/>
    <w:rsid w:val="00363974"/>
    <w:rsid w:val="00370D21"/>
    <w:rsid w:val="003B0990"/>
    <w:rsid w:val="003C6365"/>
    <w:rsid w:val="003D1C73"/>
    <w:rsid w:val="003E6641"/>
    <w:rsid w:val="004070FD"/>
    <w:rsid w:val="004470CD"/>
    <w:rsid w:val="00464551"/>
    <w:rsid w:val="004C5BCF"/>
    <w:rsid w:val="00522A04"/>
    <w:rsid w:val="005617D4"/>
    <w:rsid w:val="00583257"/>
    <w:rsid w:val="005B44B1"/>
    <w:rsid w:val="005E422B"/>
    <w:rsid w:val="00605952"/>
    <w:rsid w:val="00626321"/>
    <w:rsid w:val="00650991"/>
    <w:rsid w:val="00656DF1"/>
    <w:rsid w:val="006651B8"/>
    <w:rsid w:val="006716E2"/>
    <w:rsid w:val="006E5F95"/>
    <w:rsid w:val="007015B3"/>
    <w:rsid w:val="007232BF"/>
    <w:rsid w:val="00764C22"/>
    <w:rsid w:val="00777957"/>
    <w:rsid w:val="00787F70"/>
    <w:rsid w:val="007B57B9"/>
    <w:rsid w:val="00840D81"/>
    <w:rsid w:val="008567A8"/>
    <w:rsid w:val="008625BC"/>
    <w:rsid w:val="008B6AC9"/>
    <w:rsid w:val="00902C1B"/>
    <w:rsid w:val="00902F75"/>
    <w:rsid w:val="009633C1"/>
    <w:rsid w:val="00983EF2"/>
    <w:rsid w:val="0099503E"/>
    <w:rsid w:val="009A5246"/>
    <w:rsid w:val="00A226A9"/>
    <w:rsid w:val="00AB6448"/>
    <w:rsid w:val="00B31759"/>
    <w:rsid w:val="00B36FE6"/>
    <w:rsid w:val="00B45764"/>
    <w:rsid w:val="00B634A7"/>
    <w:rsid w:val="00B669C5"/>
    <w:rsid w:val="00B75668"/>
    <w:rsid w:val="00B93514"/>
    <w:rsid w:val="00BB65B9"/>
    <w:rsid w:val="00C17D76"/>
    <w:rsid w:val="00C274B3"/>
    <w:rsid w:val="00D524EE"/>
    <w:rsid w:val="00D80EFA"/>
    <w:rsid w:val="00D87E25"/>
    <w:rsid w:val="00DA4222"/>
    <w:rsid w:val="00DA450E"/>
    <w:rsid w:val="00DA473C"/>
    <w:rsid w:val="00DD3D0B"/>
    <w:rsid w:val="00DD65F9"/>
    <w:rsid w:val="00E01B9C"/>
    <w:rsid w:val="00E47F07"/>
    <w:rsid w:val="00E62DC3"/>
    <w:rsid w:val="00E726A8"/>
    <w:rsid w:val="00E976BB"/>
    <w:rsid w:val="00EE0942"/>
    <w:rsid w:val="00F331A3"/>
    <w:rsid w:val="00F53D98"/>
    <w:rsid w:val="00FA3136"/>
    <w:rsid w:val="00FC144F"/>
    <w:rsid w:val="00FE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9DB"/>
    <w:pPr>
      <w:spacing w:after="0" w:line="240" w:lineRule="auto"/>
    </w:pPr>
    <w:rPr>
      <w:rFonts w:ascii="Palatino" w:eastAsia="Cambria" w:hAnsi="Palatino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9DB"/>
    <w:pPr>
      <w:keepNext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9DB"/>
    <w:pPr>
      <w:keepNext/>
      <w:pBdr>
        <w:top w:val="single" w:sz="4" w:space="1" w:color="D9D9D9" w:themeColor="background1" w:themeShade="D9"/>
        <w:bottom w:val="single" w:sz="4" w:space="1" w:color="D9D9D9" w:themeColor="background1" w:themeShade="D9"/>
      </w:pBdr>
      <w:spacing w:before="240" w:after="60"/>
      <w:outlineLvl w:val="1"/>
    </w:pPr>
    <w:rPr>
      <w:rFonts w:ascii="Arial" w:eastAsiaTheme="majorEastAsia" w:hAnsi="Arial" w:cstheme="majorBidi"/>
      <w:b/>
      <w:bCs/>
      <w:iCs/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219DB"/>
    <w:pPr>
      <w:pBdr>
        <w:top w:val="none" w:sz="0" w:space="0" w:color="auto"/>
        <w:bottom w:val="none" w:sz="0" w:space="0" w:color="auto"/>
      </w:pBdr>
      <w:spacing w:before="120"/>
      <w:outlineLvl w:val="2"/>
    </w:pPr>
    <w:rPr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DB"/>
    <w:rPr>
      <w:rFonts w:ascii="Palatino" w:eastAsiaTheme="majorEastAsia" w:hAnsi="Palatino" w:cstheme="majorBidi"/>
      <w:b/>
      <w:bCs/>
      <w:kern w:val="3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19DB"/>
    <w:rPr>
      <w:rFonts w:ascii="Arial" w:eastAsiaTheme="majorEastAsia" w:hAnsi="Arial" w:cstheme="majorBidi"/>
      <w:b/>
      <w:bCs/>
      <w:i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9DB"/>
    <w:rPr>
      <w:rFonts w:ascii="Arial" w:eastAsiaTheme="majorEastAsia" w:hAnsi="Arial" w:cstheme="majorBidi"/>
      <w:b/>
      <w:bCs/>
      <w:i/>
      <w:iCs/>
      <w:sz w:val="28"/>
      <w:szCs w:val="28"/>
    </w:rPr>
  </w:style>
  <w:style w:type="paragraph" w:customStyle="1" w:styleId="Emphasize">
    <w:name w:val="Emphasize"/>
    <w:basedOn w:val="Normal"/>
    <w:qFormat/>
    <w:rsid w:val="002219DB"/>
    <w:rPr>
      <w:i/>
      <w:color w:val="A6A6A6" w:themeColor="background1" w:themeShade="A6"/>
    </w:rPr>
  </w:style>
  <w:style w:type="paragraph" w:styleId="ListParagraph">
    <w:name w:val="List Paragraph"/>
    <w:basedOn w:val="Normal"/>
    <w:uiPriority w:val="34"/>
    <w:qFormat/>
    <w:rsid w:val="002219DB"/>
    <w:pPr>
      <w:ind w:left="720"/>
      <w:contextualSpacing/>
    </w:pPr>
  </w:style>
  <w:style w:type="paragraph" w:customStyle="1" w:styleId="Code">
    <w:name w:val="Code"/>
    <w:basedOn w:val="Normal"/>
    <w:qFormat/>
    <w:rsid w:val="006716E2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E0E0E0"/>
    </w:pPr>
    <w:rPr>
      <w:rFonts w:ascii="Courier New" w:hAnsi="Courier New"/>
    </w:rPr>
  </w:style>
  <w:style w:type="paragraph" w:styleId="Caption">
    <w:name w:val="caption"/>
    <w:basedOn w:val="Normal"/>
    <w:next w:val="Normal"/>
    <w:rsid w:val="002219DB"/>
    <w:pPr>
      <w:spacing w:after="200"/>
      <w:jc w:val="center"/>
    </w:pPr>
    <w:rPr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9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9DB"/>
    <w:rPr>
      <w:rFonts w:ascii="Tahoma" w:eastAsia="Cambri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51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634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5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2131-D2CA-43DE-BDC6-C57E233D4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Bracken</dc:creator>
  <cp:keywords/>
  <dc:description/>
  <cp:lastModifiedBy>Cameron Bracken</cp:lastModifiedBy>
  <cp:revision>2</cp:revision>
  <dcterms:created xsi:type="dcterms:W3CDTF">2010-07-30T20:06:00Z</dcterms:created>
  <dcterms:modified xsi:type="dcterms:W3CDTF">2010-07-30T20:06:00Z</dcterms:modified>
</cp:coreProperties>
</file>