
<file path=[Content_Types].xml><?xml version="1.0" encoding="utf-8"?>
<Types xmlns="http://schemas.openxmlformats.org/package/2006/content-types">
  <Override PartName="/word/fontTable.xml" ContentType="application/vnd.openxmlformats-officedocument.wordprocessingml.fontTable+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Default Extension="jpeg" ContentType="image/jpeg"/>
  <Default Extension="png" ContentType="image/png"/>
  <Default Extension="xml" ContentType="application/xml"/>
  <Override PartName="/word/webSettings.xml" ContentType="application/vnd.openxmlformats-officedocument.wordprocessingml.webSettings+xml"/>
  <Default Extension="bin" ContentType="application/vnd.openxmlformats-officedocument.oleObject"/>
  <Override PartName="/word/theme/theme1.xml" ContentType="application/vnd.openxmlformats-officedocument.theme+xml"/>
  <Default Extension="rels" ContentType="application/vnd.openxmlformats-package.relationships+xml"/>
  <Default Extension="pict" ContentType="image/pict"/>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 Id="rId4"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3EF9" w:rsidRDefault="00AA7B92" w:rsidP="001A3EF9">
      <w:pPr>
        <w:jc w:val="center"/>
        <w:rPr>
          <w:rFonts w:ascii="Arial" w:hAnsi="Arial"/>
          <w:b/>
        </w:rPr>
      </w:pPr>
      <w:r>
        <w:rPr>
          <w:rFonts w:ascii="Arial" w:hAnsi="Arial"/>
          <w:b/>
        </w:rPr>
        <w:t>Lecture 3, August 31, 2010</w:t>
      </w:r>
      <w:r w:rsidR="00687DD4" w:rsidRPr="00414FD8">
        <w:rPr>
          <w:rFonts w:ascii="Arial" w:hAnsi="Arial"/>
          <w:b/>
        </w:rPr>
        <w:t xml:space="preserve"> (Key Points)</w:t>
      </w:r>
    </w:p>
    <w:p w:rsidR="001A3EF9" w:rsidRDefault="001A3EF9" w:rsidP="001A3EF9">
      <w:pPr>
        <w:jc w:val="center"/>
        <w:rPr>
          <w:rFonts w:ascii="Arial" w:hAnsi="Arial"/>
          <w:b/>
        </w:rPr>
      </w:pPr>
    </w:p>
    <w:p w:rsidR="001A3EF9" w:rsidRDefault="001A3EF9" w:rsidP="001A3EF9">
      <w:pPr>
        <w:pStyle w:val="BodyTextIndent3"/>
        <w:ind w:firstLine="450"/>
        <w:rPr>
          <w:rFonts w:ascii="Arial" w:hAnsi="Arial"/>
        </w:rPr>
      </w:pPr>
      <w:r w:rsidRPr="001A3EF9">
        <w:rPr>
          <w:rFonts w:ascii="Arial" w:hAnsi="Arial"/>
        </w:rPr>
        <w:t xml:space="preserve">It was mentioned in lecture-1 that </w:t>
      </w:r>
      <w:r>
        <w:rPr>
          <w:rFonts w:ascii="Arial" w:hAnsi="Arial"/>
        </w:rPr>
        <w:t>k</w:t>
      </w:r>
      <w:r w:rsidRPr="00E80B3D">
        <w:rPr>
          <w:rFonts w:ascii="Arial" w:hAnsi="Arial"/>
        </w:rPr>
        <w:t>ey</w:t>
      </w:r>
      <w:r>
        <w:rPr>
          <w:rFonts w:ascii="Arial" w:hAnsi="Arial"/>
        </w:rPr>
        <w:t xml:space="preserve"> developments during the 1960s </w:t>
      </w:r>
      <w:r w:rsidRPr="00E80B3D">
        <w:rPr>
          <w:rFonts w:ascii="Arial" w:hAnsi="Arial"/>
        </w:rPr>
        <w:t xml:space="preserve">led to </w:t>
      </w:r>
      <w:r w:rsidRPr="00E80B3D">
        <w:rPr>
          <w:rFonts w:ascii="Arial" w:hAnsi="Arial"/>
          <w:i/>
        </w:rPr>
        <w:t>two disparate approaches to hydrologic analyses, one statistical and the other deterministic</w:t>
      </w:r>
      <w:r w:rsidRPr="00E80B3D">
        <w:rPr>
          <w:rFonts w:ascii="Arial" w:hAnsi="Arial"/>
        </w:rPr>
        <w:t xml:space="preserve">. The statistical approach consisted of the regional (spatial) quantile analysis of annual flood frequencies in ‘homogenous regions’. </w:t>
      </w:r>
      <w:r>
        <w:rPr>
          <w:rFonts w:ascii="Arial" w:hAnsi="Arial"/>
        </w:rPr>
        <w:t xml:space="preserve">The </w:t>
      </w:r>
      <w:r w:rsidRPr="00E80B3D">
        <w:rPr>
          <w:rFonts w:ascii="Arial" w:hAnsi="Arial"/>
        </w:rPr>
        <w:t>US Geological Survey (USGS)</w:t>
      </w:r>
      <w:r>
        <w:rPr>
          <w:rFonts w:ascii="Arial" w:hAnsi="Arial"/>
        </w:rPr>
        <w:t xml:space="preserve"> developed it</w:t>
      </w:r>
      <w:r w:rsidRPr="00E80B3D">
        <w:rPr>
          <w:rFonts w:ascii="Arial" w:hAnsi="Arial"/>
        </w:rPr>
        <w:t xml:space="preserve">. The deterministic </w:t>
      </w:r>
      <w:r>
        <w:rPr>
          <w:rFonts w:ascii="Arial" w:hAnsi="Arial"/>
        </w:rPr>
        <w:t xml:space="preserve">(spatially distributed) </w:t>
      </w:r>
      <w:r w:rsidRPr="00E80B3D">
        <w:rPr>
          <w:rFonts w:ascii="Arial" w:hAnsi="Arial"/>
        </w:rPr>
        <w:t xml:space="preserve">approach consisted of semi-empirical physical equations and was meant to predict flow hydrographs and peak flows on the time scales of individual rainfall-runoff events. It was also recognized in the early 1960s that the two approaches must be closely connected because physical rainfall-runoff mechanisms generating floods were the basis for the flood values used in statistical analyses. </w:t>
      </w:r>
      <w:r>
        <w:rPr>
          <w:rFonts w:ascii="Arial" w:hAnsi="Arial"/>
        </w:rPr>
        <w:t xml:space="preserve">However, a </w:t>
      </w:r>
      <w:r w:rsidRPr="00E80B3D">
        <w:rPr>
          <w:rFonts w:ascii="Arial" w:hAnsi="Arial"/>
        </w:rPr>
        <w:t xml:space="preserve">general theoretical framework for connecting the two, i.e. how the physics of the system could be used to determine spatial statistical parameters </w:t>
      </w:r>
      <w:r w:rsidR="007712B0">
        <w:rPr>
          <w:rFonts w:ascii="Arial" w:hAnsi="Arial"/>
        </w:rPr>
        <w:t>began to</w:t>
      </w:r>
      <w:r w:rsidRPr="00E80B3D">
        <w:rPr>
          <w:rFonts w:ascii="Arial" w:hAnsi="Arial"/>
        </w:rPr>
        <w:t xml:space="preserve"> d</w:t>
      </w:r>
      <w:r w:rsidR="007712B0">
        <w:rPr>
          <w:rFonts w:ascii="Arial" w:hAnsi="Arial"/>
        </w:rPr>
        <w:t>evelop</w:t>
      </w:r>
      <w:r>
        <w:rPr>
          <w:rFonts w:ascii="Arial" w:hAnsi="Arial"/>
        </w:rPr>
        <w:t xml:space="preserve"> only in the last twenty years</w:t>
      </w:r>
      <w:r w:rsidR="007712B0">
        <w:rPr>
          <w:rFonts w:ascii="Arial" w:hAnsi="Arial"/>
        </w:rPr>
        <w:t>.</w:t>
      </w:r>
    </w:p>
    <w:p w:rsidR="00687DD4" w:rsidRPr="001A3EF9" w:rsidRDefault="001A3EF9" w:rsidP="001A3EF9">
      <w:pPr>
        <w:pStyle w:val="BodyText"/>
        <w:ind w:firstLine="360"/>
        <w:rPr>
          <w:rFonts w:ascii="Arial" w:eastAsia="Times" w:hAnsi="Arial"/>
        </w:rPr>
      </w:pPr>
      <w:r>
        <w:rPr>
          <w:rFonts w:ascii="Arial" w:hAnsi="Arial"/>
        </w:rPr>
        <w:t xml:space="preserve">We will review USGS regional quantile analysis as a starting point. </w:t>
      </w:r>
      <w:r>
        <w:rPr>
          <w:rFonts w:ascii="Arial" w:eastAsia="Times" w:hAnsi="Arial"/>
        </w:rPr>
        <w:t xml:space="preserve">Brutsaert (Ch. 13, </w:t>
      </w:r>
      <w:r w:rsidRPr="00414FD8">
        <w:rPr>
          <w:rFonts w:ascii="Arial" w:eastAsia="Times" w:hAnsi="Arial"/>
        </w:rPr>
        <w:t>Section 13.5</w:t>
      </w:r>
      <w:r>
        <w:rPr>
          <w:rFonts w:ascii="Arial" w:eastAsia="Times" w:hAnsi="Arial"/>
        </w:rPr>
        <w:t>, 2005</w:t>
      </w:r>
      <w:r w:rsidRPr="00414FD8">
        <w:rPr>
          <w:rFonts w:ascii="Arial" w:eastAsia="Times" w:hAnsi="Arial"/>
        </w:rPr>
        <w:t xml:space="preserve">) covers </w:t>
      </w:r>
      <w:r>
        <w:rPr>
          <w:rFonts w:ascii="Arial" w:eastAsia="Times" w:hAnsi="Arial"/>
        </w:rPr>
        <w:t xml:space="preserve">some of </w:t>
      </w:r>
      <w:r w:rsidRPr="00414FD8">
        <w:rPr>
          <w:rFonts w:ascii="Arial" w:eastAsia="Times" w:hAnsi="Arial"/>
        </w:rPr>
        <w:t xml:space="preserve">this material. </w:t>
      </w:r>
      <w:r w:rsidRPr="00837E97">
        <w:rPr>
          <w:rFonts w:ascii="Arial" w:eastAsia="Times" w:hAnsi="Arial"/>
          <w:i/>
          <w:u w:val="single"/>
        </w:rPr>
        <w:t>Critical question</w:t>
      </w:r>
      <w:r w:rsidRPr="001A3EF9">
        <w:rPr>
          <w:rFonts w:ascii="Arial" w:eastAsia="Times" w:hAnsi="Arial"/>
          <w:i/>
        </w:rPr>
        <w:t xml:space="preserve">: Why are we starting </w:t>
      </w:r>
      <w:r w:rsidR="002E5BA9">
        <w:rPr>
          <w:rFonts w:ascii="Arial" w:eastAsia="Times" w:hAnsi="Arial"/>
          <w:i/>
        </w:rPr>
        <w:t xml:space="preserve">the course </w:t>
      </w:r>
      <w:r w:rsidRPr="001A3EF9">
        <w:rPr>
          <w:rFonts w:ascii="Arial" w:eastAsia="Times" w:hAnsi="Arial"/>
          <w:i/>
        </w:rPr>
        <w:t>from the end of the book and not from the beginning, e.g., chapter 2?</w:t>
      </w:r>
    </w:p>
    <w:p w:rsidR="00687DD4" w:rsidRPr="00414FD8" w:rsidRDefault="00687DD4" w:rsidP="00414FD8">
      <w:pPr>
        <w:jc w:val="both"/>
        <w:rPr>
          <w:rFonts w:ascii="Arial" w:hAnsi="Arial"/>
          <w:b/>
          <w:u w:val="single"/>
        </w:rPr>
      </w:pPr>
    </w:p>
    <w:p w:rsidR="00DB2A5F" w:rsidRDefault="00DB2A5F" w:rsidP="00F31F83">
      <w:pPr>
        <w:tabs>
          <w:tab w:val="left" w:pos="270"/>
          <w:tab w:val="left" w:pos="360"/>
        </w:tabs>
        <w:jc w:val="both"/>
        <w:rPr>
          <w:rFonts w:ascii="Arial" w:hAnsi="Arial"/>
          <w:b/>
          <w:u w:val="single"/>
        </w:rPr>
      </w:pPr>
      <w:r>
        <w:rPr>
          <w:rFonts w:ascii="Arial" w:hAnsi="Arial"/>
          <w:b/>
          <w:u w:val="single"/>
        </w:rPr>
        <w:t>Statistical Regionaliz</w:t>
      </w:r>
      <w:r w:rsidR="00950D9A">
        <w:rPr>
          <w:rFonts w:ascii="Arial" w:hAnsi="Arial"/>
          <w:b/>
          <w:u w:val="single"/>
        </w:rPr>
        <w:t>a</w:t>
      </w:r>
      <w:r>
        <w:rPr>
          <w:rFonts w:ascii="Arial" w:hAnsi="Arial"/>
          <w:b/>
          <w:u w:val="single"/>
        </w:rPr>
        <w:t>tion a</w:t>
      </w:r>
      <w:r w:rsidRPr="00414FD8">
        <w:rPr>
          <w:rFonts w:ascii="Arial" w:hAnsi="Arial"/>
          <w:b/>
          <w:u w:val="single"/>
        </w:rPr>
        <w:t>nd Pre</w:t>
      </w:r>
      <w:r>
        <w:rPr>
          <w:rFonts w:ascii="Arial" w:hAnsi="Arial"/>
          <w:b/>
          <w:u w:val="single"/>
        </w:rPr>
        <w:t>diction i</w:t>
      </w:r>
      <w:r w:rsidR="00950D9A">
        <w:rPr>
          <w:rFonts w:ascii="Arial" w:hAnsi="Arial"/>
          <w:b/>
          <w:u w:val="single"/>
        </w:rPr>
        <w:t>n Ungau</w:t>
      </w:r>
      <w:r w:rsidRPr="00414FD8">
        <w:rPr>
          <w:rFonts w:ascii="Arial" w:hAnsi="Arial"/>
          <w:b/>
          <w:u w:val="single"/>
        </w:rPr>
        <w:t>ged Basins</w:t>
      </w:r>
    </w:p>
    <w:p w:rsidR="00060ABB" w:rsidRPr="00414FD8" w:rsidRDefault="00060ABB" w:rsidP="00414FD8">
      <w:pPr>
        <w:jc w:val="both"/>
        <w:rPr>
          <w:rFonts w:ascii="Arial" w:hAnsi="Arial"/>
          <w:b/>
          <w:u w:val="single"/>
        </w:rPr>
      </w:pPr>
    </w:p>
    <w:p w:rsidR="00060ABB" w:rsidRPr="00414FD8" w:rsidRDefault="00060ABB" w:rsidP="00174EB1">
      <w:pPr>
        <w:pStyle w:val="BodyText"/>
        <w:ind w:firstLine="360"/>
        <w:rPr>
          <w:rFonts w:ascii="Arial" w:eastAsia="Times" w:hAnsi="Arial"/>
        </w:rPr>
      </w:pPr>
      <w:r w:rsidRPr="00414FD8">
        <w:rPr>
          <w:rFonts w:ascii="Arial" w:eastAsia="Times" w:hAnsi="Arial"/>
        </w:rPr>
        <w:t xml:space="preserve">The term </w:t>
      </w:r>
      <w:r w:rsidRPr="00414FD8">
        <w:rPr>
          <w:rFonts w:ascii="Arial" w:eastAsia="Times" w:hAnsi="Arial"/>
          <w:i/>
        </w:rPr>
        <w:t xml:space="preserve">regional flood frequency analysis </w:t>
      </w:r>
      <w:r w:rsidRPr="00414FD8">
        <w:rPr>
          <w:rFonts w:ascii="Arial" w:eastAsia="Times" w:hAnsi="Arial"/>
        </w:rPr>
        <w:t xml:space="preserve">refers to an engineering approach to analyze hydrologic data of </w:t>
      </w:r>
      <w:r w:rsidR="00AA7B92">
        <w:rPr>
          <w:rFonts w:ascii="Arial" w:eastAsia="Times" w:hAnsi="Arial"/>
        </w:rPr>
        <w:t xml:space="preserve">annual </w:t>
      </w:r>
      <w:r w:rsidRPr="00414FD8">
        <w:rPr>
          <w:rFonts w:ascii="Arial" w:eastAsia="Times" w:hAnsi="Arial"/>
        </w:rPr>
        <w:t xml:space="preserve">foods and low flows using purely statistical methods, and extrapolate the information to ungauged basins within a </w:t>
      </w:r>
      <w:r w:rsidRPr="00414FD8">
        <w:rPr>
          <w:rFonts w:ascii="Arial" w:eastAsia="Times" w:hAnsi="Arial"/>
          <w:i/>
        </w:rPr>
        <w:t>homogeneous region</w:t>
      </w:r>
      <w:r w:rsidRPr="00414FD8">
        <w:rPr>
          <w:rFonts w:ascii="Arial" w:eastAsia="Times" w:hAnsi="Arial"/>
        </w:rPr>
        <w:t xml:space="preserve"> where no information exists. </w:t>
      </w:r>
      <w:r w:rsidR="00AA7B92" w:rsidRPr="00414FD8">
        <w:rPr>
          <w:rFonts w:ascii="Arial" w:eastAsia="Times" w:hAnsi="Arial"/>
        </w:rPr>
        <w:t xml:space="preserve">Drainage basins in many parts of the world are ungauged or poorly gauged, and in some cases existing measurement networks are declining. </w:t>
      </w:r>
      <w:r w:rsidR="00C66622">
        <w:rPr>
          <w:rFonts w:ascii="Arial" w:eastAsia="Times" w:hAnsi="Arial"/>
        </w:rPr>
        <w:t xml:space="preserve">Regionalization is a well-established approach to extrapolate information from gauged locations </w:t>
      </w:r>
      <w:r w:rsidR="00C66622" w:rsidRPr="00414FD8">
        <w:rPr>
          <w:rFonts w:ascii="Arial" w:eastAsia="Times" w:hAnsi="Arial"/>
        </w:rPr>
        <w:t xml:space="preserve">to ungauged basins </w:t>
      </w:r>
      <w:r w:rsidRPr="00414FD8">
        <w:rPr>
          <w:rFonts w:ascii="Arial" w:eastAsia="Times" w:hAnsi="Arial"/>
        </w:rPr>
        <w:t xml:space="preserve">The USGS has led the way to conducting regional analyses in the US. We will use the developments </w:t>
      </w:r>
      <w:r w:rsidR="00F209CE" w:rsidRPr="00414FD8">
        <w:rPr>
          <w:rFonts w:ascii="Arial" w:eastAsia="Times" w:hAnsi="Arial"/>
        </w:rPr>
        <w:t xml:space="preserve">that occurred in the USGS </w:t>
      </w:r>
      <w:r w:rsidRPr="00414FD8">
        <w:rPr>
          <w:rFonts w:ascii="Arial" w:eastAsia="Times" w:hAnsi="Arial"/>
        </w:rPr>
        <w:t>to explain regional flood frequency analysis</w:t>
      </w:r>
      <w:r w:rsidRPr="00414FD8">
        <w:rPr>
          <w:rFonts w:ascii="Arial" w:eastAsia="Times" w:hAnsi="Arial"/>
          <w:i/>
        </w:rPr>
        <w:t xml:space="preserve">. </w:t>
      </w:r>
    </w:p>
    <w:p w:rsidR="00481EDB" w:rsidRPr="00414FD8" w:rsidRDefault="00481EDB" w:rsidP="00414FD8">
      <w:pPr>
        <w:tabs>
          <w:tab w:val="left" w:pos="0"/>
          <w:tab w:val="left" w:pos="520"/>
        </w:tabs>
        <w:ind w:firstLine="80"/>
        <w:jc w:val="both"/>
        <w:rPr>
          <w:rFonts w:ascii="Arial" w:hAnsi="Arial"/>
        </w:rPr>
      </w:pPr>
    </w:p>
    <w:p w:rsidR="00414FD8" w:rsidRPr="00F31F83" w:rsidRDefault="00060ABB" w:rsidP="00F31F83">
      <w:pPr>
        <w:pStyle w:val="ListParagraph"/>
        <w:numPr>
          <w:ilvl w:val="0"/>
          <w:numId w:val="9"/>
        </w:numPr>
        <w:tabs>
          <w:tab w:val="left" w:pos="0"/>
          <w:tab w:val="left" w:pos="180"/>
          <w:tab w:val="left" w:pos="360"/>
        </w:tabs>
        <w:ind w:left="0" w:firstLine="0"/>
        <w:jc w:val="both"/>
        <w:rPr>
          <w:rFonts w:ascii="Arial" w:hAnsi="Arial"/>
        </w:rPr>
      </w:pPr>
      <w:r w:rsidRPr="00F31F83">
        <w:rPr>
          <w:rFonts w:ascii="Arial" w:hAnsi="Arial"/>
        </w:rPr>
        <w:t xml:space="preserve">Let </w:t>
      </w:r>
      <w:r w:rsidRPr="00414FD8">
        <w:rPr>
          <w:position w:val="-8"/>
        </w:rPr>
        <w:object w:dxaOrig="500" w:dyaOrig="2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8pt;height:14.4pt" o:ole="">
            <v:imagedata r:id="rId5" r:pict="rId6" o:title=""/>
          </v:shape>
          <o:OLEObject Type="Embed" ProgID="Equation" ShapeID="_x0000_i1025" DrawAspect="Content" ObjectID="_1218652323" r:id="rId7">
            <o:FieldCodes>\* mergeformat</o:FieldCodes>
          </o:OLEObject>
        </w:object>
      </w:r>
      <w:r w:rsidRPr="00F31F83">
        <w:rPr>
          <w:rFonts w:ascii="Arial" w:hAnsi="Arial"/>
        </w:rPr>
        <w:t xml:space="preserve"> be a random variable denoting the annual floods</w:t>
      </w:r>
      <w:r w:rsidR="00C66622" w:rsidRPr="00F31F83">
        <w:rPr>
          <w:rFonts w:ascii="Arial" w:hAnsi="Arial"/>
        </w:rPr>
        <w:t xml:space="preserve">                                                                                                                                                </w:t>
      </w:r>
      <w:r w:rsidR="00F31F83" w:rsidRPr="00F31F83">
        <w:rPr>
          <w:rFonts w:ascii="Arial" w:hAnsi="Arial"/>
        </w:rPr>
        <w:t xml:space="preserve">                              </w:t>
      </w:r>
      <w:r w:rsidRPr="00F31F83">
        <w:rPr>
          <w:rFonts w:ascii="Arial" w:hAnsi="Arial"/>
        </w:rPr>
        <w:t xml:space="preserve">from a basin of upstream contributing drainage area </w:t>
      </w:r>
      <w:r w:rsidRPr="00F31F83">
        <w:rPr>
          <w:rFonts w:ascii="Arial" w:hAnsi="Arial"/>
          <w:i/>
        </w:rPr>
        <w:t>A</w:t>
      </w:r>
      <w:r w:rsidRPr="00F31F83">
        <w:rPr>
          <w:rFonts w:ascii="Arial" w:hAnsi="Arial"/>
        </w:rPr>
        <w:t xml:space="preserve"> within a </w:t>
      </w:r>
      <w:r w:rsidR="00FC4ECF" w:rsidRPr="00F31F83">
        <w:rPr>
          <w:rFonts w:ascii="Arial" w:hAnsi="Arial"/>
        </w:rPr>
        <w:t>“</w:t>
      </w:r>
      <w:r w:rsidRPr="00F31F83">
        <w:rPr>
          <w:rFonts w:ascii="Arial" w:hAnsi="Arial"/>
          <w:i/>
        </w:rPr>
        <w:t>homogeneous</w:t>
      </w:r>
      <w:r w:rsidR="00FC4ECF" w:rsidRPr="00F31F83">
        <w:rPr>
          <w:rFonts w:ascii="Arial" w:hAnsi="Arial"/>
          <w:i/>
        </w:rPr>
        <w:t>”</w:t>
      </w:r>
      <w:r w:rsidR="00FC4ECF" w:rsidRPr="00F31F83">
        <w:rPr>
          <w:rFonts w:ascii="Arial" w:hAnsi="Arial"/>
        </w:rPr>
        <w:t xml:space="preserve"> region.</w:t>
      </w:r>
      <w:r w:rsidRPr="00F31F83">
        <w:rPr>
          <w:rFonts w:ascii="Arial" w:hAnsi="Arial"/>
        </w:rPr>
        <w:t xml:space="preserve"> The </w:t>
      </w:r>
      <w:r w:rsidRPr="00414FD8">
        <w:rPr>
          <w:position w:val="-8"/>
        </w:rPr>
        <w:object w:dxaOrig="200" w:dyaOrig="220">
          <v:shape id="_x0000_i1026" type="#_x0000_t75" style="width:10.4pt;height:11.2pt" o:ole="">
            <v:imagedata r:id="rId8" r:pict="rId9" o:title=""/>
          </v:shape>
          <o:OLEObject Type="Embed" ProgID="Equation" ShapeID="_x0000_i1026" DrawAspect="Content" ObjectID="_1218652324" r:id="rId10">
            <o:FieldCodes>\* mergeformat</o:FieldCodes>
          </o:OLEObject>
        </w:object>
      </w:r>
      <w:r w:rsidRPr="00F31F83">
        <w:rPr>
          <w:rFonts w:ascii="Arial" w:hAnsi="Arial"/>
          <w:vertAlign w:val="superscript"/>
        </w:rPr>
        <w:t>th</w:t>
      </w:r>
      <w:r w:rsidRPr="00F31F83">
        <w:rPr>
          <w:rFonts w:ascii="Arial" w:hAnsi="Arial"/>
        </w:rPr>
        <w:t xml:space="preserve"> quantile denoted by </w:t>
      </w:r>
      <w:r w:rsidRPr="00414FD8">
        <w:rPr>
          <w:position w:val="-12"/>
        </w:rPr>
        <w:object w:dxaOrig="620" w:dyaOrig="320">
          <v:shape id="_x0000_i1027" type="#_x0000_t75" style="width:31.2pt;height:16pt" o:ole="">
            <v:imagedata r:id="rId11" r:pict="rId12" o:title=""/>
          </v:shape>
          <o:OLEObject Type="Embed" ProgID="Equation" ShapeID="_x0000_i1027" DrawAspect="Content" ObjectID="_1218652325" r:id="rId13">
            <o:FieldCodes>\* mergeformat</o:FieldCodes>
          </o:OLEObject>
        </w:object>
      </w:r>
      <w:r w:rsidRPr="00F31F83">
        <w:rPr>
          <w:rFonts w:ascii="Arial" w:hAnsi="Arial"/>
        </w:rPr>
        <w:t xml:space="preserve"> is defined as,</w:t>
      </w:r>
    </w:p>
    <w:p w:rsidR="00060ABB" w:rsidRPr="00414FD8" w:rsidRDefault="00060ABB" w:rsidP="00414FD8">
      <w:pPr>
        <w:pStyle w:val="ListParagraph"/>
        <w:tabs>
          <w:tab w:val="left" w:pos="0"/>
          <w:tab w:val="left" w:pos="520"/>
        </w:tabs>
        <w:ind w:left="600"/>
        <w:jc w:val="both"/>
        <w:rPr>
          <w:rFonts w:ascii="Arial" w:hAnsi="Arial"/>
          <w:i/>
        </w:rPr>
      </w:pPr>
    </w:p>
    <w:p w:rsidR="00414FD8" w:rsidRDefault="00060ABB" w:rsidP="00414FD8">
      <w:pPr>
        <w:tabs>
          <w:tab w:val="left" w:pos="0"/>
          <w:tab w:val="left" w:pos="520"/>
          <w:tab w:val="left" w:pos="1620"/>
          <w:tab w:val="left" w:pos="7920"/>
          <w:tab w:val="left" w:pos="8640"/>
        </w:tabs>
        <w:ind w:firstLine="80"/>
        <w:jc w:val="both"/>
        <w:rPr>
          <w:rFonts w:ascii="Arial" w:hAnsi="Arial"/>
        </w:rPr>
      </w:pPr>
      <w:r w:rsidRPr="00414FD8">
        <w:rPr>
          <w:rFonts w:ascii="Arial" w:hAnsi="Arial"/>
          <w:i/>
        </w:rPr>
        <w:tab/>
      </w:r>
      <w:r w:rsidRPr="00414FD8">
        <w:rPr>
          <w:rFonts w:ascii="Arial" w:hAnsi="Arial"/>
          <w:i/>
        </w:rPr>
        <w:tab/>
      </w:r>
      <w:r w:rsidRPr="00414FD8">
        <w:rPr>
          <w:rFonts w:ascii="Arial" w:hAnsi="Arial"/>
          <w:position w:val="-14"/>
        </w:rPr>
        <w:object w:dxaOrig="2080" w:dyaOrig="360">
          <v:shape id="_x0000_i1028" type="#_x0000_t75" style="width:104pt;height:18.4pt" o:ole="" fillcolor="window">
            <v:imagedata r:id="rId14" r:pict="rId15" o:title=""/>
          </v:shape>
          <o:OLEObject Type="Embed" ProgID="Equation.3" ShapeID="_x0000_i1028" DrawAspect="Content" ObjectID="_1218652326" r:id="rId16"/>
        </w:object>
      </w:r>
      <w:r w:rsidR="00481EDB" w:rsidRPr="00414FD8">
        <w:rPr>
          <w:rFonts w:ascii="Arial" w:hAnsi="Arial"/>
        </w:rPr>
        <w:tab/>
      </w:r>
      <w:r w:rsidR="00FC4ECF">
        <w:rPr>
          <w:rFonts w:ascii="Arial" w:hAnsi="Arial"/>
        </w:rPr>
        <w:tab/>
      </w:r>
      <w:r w:rsidR="00C66622">
        <w:rPr>
          <w:rFonts w:ascii="Arial" w:hAnsi="Arial"/>
        </w:rPr>
        <w:t>(3.1)</w:t>
      </w:r>
    </w:p>
    <w:p w:rsidR="00060ABB" w:rsidRPr="00414FD8" w:rsidRDefault="00060ABB" w:rsidP="00414FD8">
      <w:pPr>
        <w:tabs>
          <w:tab w:val="left" w:pos="0"/>
          <w:tab w:val="left" w:pos="520"/>
          <w:tab w:val="left" w:pos="1620"/>
          <w:tab w:val="left" w:pos="7920"/>
          <w:tab w:val="left" w:pos="8640"/>
        </w:tabs>
        <w:ind w:firstLine="80"/>
        <w:jc w:val="both"/>
        <w:rPr>
          <w:rFonts w:ascii="Arial" w:hAnsi="Arial"/>
        </w:rPr>
      </w:pPr>
    </w:p>
    <w:p w:rsidR="00060ABB" w:rsidRPr="00414FD8" w:rsidRDefault="00060ABB" w:rsidP="00414FD8">
      <w:pPr>
        <w:pStyle w:val="BodyText"/>
        <w:rPr>
          <w:rFonts w:ascii="Arial" w:hAnsi="Arial"/>
        </w:rPr>
      </w:pPr>
      <w:r w:rsidRPr="00414FD8">
        <w:rPr>
          <w:rFonts w:ascii="Arial" w:hAnsi="Arial"/>
        </w:rPr>
        <w:t xml:space="preserve">The inverse of the probability </w:t>
      </w:r>
      <w:r w:rsidRPr="00414FD8">
        <w:rPr>
          <w:rFonts w:ascii="Arial" w:hAnsi="Arial"/>
          <w:position w:val="-8"/>
        </w:rPr>
        <w:object w:dxaOrig="460" w:dyaOrig="280">
          <v:shape id="_x0000_i1029" type="#_x0000_t75" style="width:23.2pt;height:14.4pt" o:ole="">
            <v:imagedata r:id="rId17" r:pict="rId18" o:title=""/>
          </v:shape>
          <o:OLEObject Type="Embed" ProgID="Equation" ShapeID="_x0000_i1029" DrawAspect="Content" ObjectID="_1218652327" r:id="rId19">
            <o:FieldCodes>\* mergeformat</o:FieldCodes>
          </o:OLEObject>
        </w:object>
      </w:r>
      <w:r w:rsidRPr="00414FD8">
        <w:rPr>
          <w:rFonts w:ascii="Arial" w:hAnsi="Arial"/>
        </w:rPr>
        <w:t xml:space="preserve"> is known as the </w:t>
      </w:r>
      <w:r w:rsidRPr="00414FD8">
        <w:rPr>
          <w:rFonts w:ascii="Arial" w:hAnsi="Arial"/>
          <w:i/>
        </w:rPr>
        <w:t xml:space="preserve">return period, </w:t>
      </w:r>
      <w:r w:rsidRPr="00414FD8">
        <w:rPr>
          <w:rFonts w:ascii="Arial" w:hAnsi="Arial"/>
          <w:i/>
          <w:position w:val="-8"/>
        </w:rPr>
        <w:object w:dxaOrig="260" w:dyaOrig="280">
          <v:shape id="_x0000_i1030" type="#_x0000_t75" style="width:12.8pt;height:14.4pt" o:ole="">
            <v:imagedata r:id="rId20" r:pict="rId21" o:title=""/>
          </v:shape>
          <o:OLEObject Type="Embed" ProgID="Equation.3" ShapeID="_x0000_i1030" DrawAspect="Content" ObjectID="_1218652328" r:id="rId22"/>
        </w:object>
      </w:r>
      <w:r w:rsidRPr="00414FD8">
        <w:rPr>
          <w:rFonts w:ascii="Arial" w:hAnsi="Arial"/>
          <w:i/>
        </w:rPr>
        <w:t xml:space="preserve">. </w:t>
      </w:r>
      <w:r w:rsidRPr="00414FD8">
        <w:rPr>
          <w:rFonts w:ascii="Arial" w:hAnsi="Arial"/>
        </w:rPr>
        <w:t xml:space="preserve"> If you are given stream flow record for </w:t>
      </w:r>
      <w:r w:rsidRPr="00414FD8">
        <w:rPr>
          <w:rFonts w:ascii="Arial" w:hAnsi="Arial"/>
          <w:i/>
        </w:rPr>
        <w:t>n</w:t>
      </w:r>
      <w:r w:rsidRPr="00414FD8">
        <w:rPr>
          <w:rFonts w:ascii="Arial" w:hAnsi="Arial"/>
        </w:rPr>
        <w:t xml:space="preserve"> years, </w:t>
      </w:r>
      <w:r w:rsidRPr="00414FD8">
        <w:rPr>
          <w:rFonts w:ascii="Arial" w:eastAsia="Times" w:hAnsi="Arial"/>
        </w:rPr>
        <w:t>and m is the rank</w:t>
      </w:r>
      <w:r w:rsidRPr="00414FD8">
        <w:rPr>
          <w:rFonts w:ascii="Arial" w:hAnsi="Arial"/>
        </w:rPr>
        <w:t xml:space="preserve"> from largest to smallest, of a given flood, then Weibull’s plott</w:t>
      </w:r>
      <w:r w:rsidR="00DC7FA6">
        <w:rPr>
          <w:rFonts w:ascii="Arial" w:hAnsi="Arial"/>
        </w:rPr>
        <w:t>ing position formula is widely</w:t>
      </w:r>
      <w:r w:rsidRPr="00414FD8">
        <w:rPr>
          <w:rFonts w:ascii="Arial" w:hAnsi="Arial"/>
        </w:rPr>
        <w:t xml:space="preserve"> used to estimate the probability </w:t>
      </w:r>
      <w:r w:rsidRPr="00414FD8">
        <w:rPr>
          <w:rFonts w:ascii="Arial" w:hAnsi="Arial"/>
          <w:i/>
        </w:rPr>
        <w:t>p</w:t>
      </w:r>
      <w:r w:rsidRPr="00414FD8">
        <w:rPr>
          <w:rFonts w:ascii="Arial" w:hAnsi="Arial"/>
        </w:rPr>
        <w:t xml:space="preserve"> as,</w:t>
      </w:r>
    </w:p>
    <w:p w:rsidR="00060ABB" w:rsidRPr="00414FD8" w:rsidRDefault="00060ABB" w:rsidP="00414FD8">
      <w:pPr>
        <w:pStyle w:val="BodyText"/>
        <w:rPr>
          <w:rFonts w:ascii="Arial" w:hAnsi="Arial"/>
        </w:rPr>
      </w:pPr>
    </w:p>
    <w:p w:rsidR="00611A29" w:rsidRDefault="00060ABB" w:rsidP="00414FD8">
      <w:pPr>
        <w:pStyle w:val="BodyText"/>
        <w:rPr>
          <w:rFonts w:ascii="Arial" w:hAnsi="Arial"/>
        </w:rPr>
      </w:pPr>
      <w:r w:rsidRPr="00414FD8">
        <w:rPr>
          <w:rFonts w:ascii="Arial" w:hAnsi="Arial"/>
        </w:rPr>
        <w:tab/>
      </w:r>
      <w:r w:rsidRPr="00414FD8">
        <w:rPr>
          <w:rFonts w:ascii="Arial" w:hAnsi="Arial"/>
        </w:rPr>
        <w:tab/>
      </w:r>
      <w:r w:rsidRPr="00414FD8">
        <w:rPr>
          <w:rFonts w:ascii="Arial" w:hAnsi="Arial"/>
          <w:position w:val="-8"/>
        </w:rPr>
        <w:object w:dxaOrig="1960" w:dyaOrig="280">
          <v:shape id="_x0000_i1031" type="#_x0000_t75" style="width:98.4pt;height:14.4pt" o:ole="">
            <v:imagedata r:id="rId23" r:pict="rId24" o:title=""/>
          </v:shape>
          <o:OLEObject Type="Embed" ProgID="Equation.3" ShapeID="_x0000_i1031" DrawAspect="Content" ObjectID="_1218652329" r:id="rId25"/>
        </w:object>
      </w:r>
      <w:r w:rsidRPr="00414FD8">
        <w:rPr>
          <w:rFonts w:ascii="Arial" w:hAnsi="Arial"/>
        </w:rPr>
        <w:tab/>
      </w:r>
      <w:r w:rsidRPr="00414FD8">
        <w:rPr>
          <w:rFonts w:ascii="Arial" w:hAnsi="Arial"/>
        </w:rPr>
        <w:tab/>
      </w:r>
      <w:r w:rsidRPr="00414FD8">
        <w:rPr>
          <w:rFonts w:ascii="Arial" w:hAnsi="Arial"/>
        </w:rPr>
        <w:tab/>
      </w:r>
      <w:r w:rsidRPr="00414FD8">
        <w:rPr>
          <w:rFonts w:ascii="Arial" w:hAnsi="Arial"/>
        </w:rPr>
        <w:tab/>
      </w:r>
      <w:r w:rsidRPr="00414FD8">
        <w:rPr>
          <w:rFonts w:ascii="Arial" w:hAnsi="Arial"/>
        </w:rPr>
        <w:tab/>
      </w:r>
      <w:r w:rsidRPr="00414FD8">
        <w:rPr>
          <w:rFonts w:ascii="Arial" w:hAnsi="Arial"/>
        </w:rPr>
        <w:tab/>
      </w:r>
      <w:r w:rsidRPr="00414FD8">
        <w:rPr>
          <w:rFonts w:ascii="Arial" w:hAnsi="Arial"/>
        </w:rPr>
        <w:tab/>
      </w:r>
      <w:r w:rsidR="00FC4ECF">
        <w:rPr>
          <w:rFonts w:ascii="Arial" w:hAnsi="Arial"/>
        </w:rPr>
        <w:tab/>
      </w:r>
      <w:r w:rsidR="00C66622">
        <w:rPr>
          <w:rFonts w:ascii="Arial" w:hAnsi="Arial"/>
        </w:rPr>
        <w:t>(3.2)</w:t>
      </w:r>
    </w:p>
    <w:p w:rsidR="00611A29" w:rsidRDefault="00611A29" w:rsidP="00414FD8">
      <w:pPr>
        <w:pStyle w:val="BodyText"/>
        <w:rPr>
          <w:rFonts w:ascii="Arial" w:hAnsi="Arial"/>
        </w:rPr>
      </w:pPr>
    </w:p>
    <w:p w:rsidR="00060ABB" w:rsidRPr="00414FD8" w:rsidRDefault="00611A29" w:rsidP="00414FD8">
      <w:pPr>
        <w:pStyle w:val="BodyText"/>
        <w:rPr>
          <w:rFonts w:ascii="Arial" w:hAnsi="Arial"/>
        </w:rPr>
      </w:pPr>
      <w:r>
        <w:rPr>
          <w:rFonts w:ascii="Arial" w:hAnsi="Arial"/>
        </w:rPr>
        <w:t>Brutsaert (2005, Section 13.2.4) gives an excellent discussion of the mathematical strengths of the Weibull’s formula</w:t>
      </w:r>
      <w:r w:rsidR="00196DF7">
        <w:rPr>
          <w:rFonts w:ascii="Arial" w:hAnsi="Arial"/>
        </w:rPr>
        <w:t xml:space="preserve"> including its</w:t>
      </w:r>
      <w:r>
        <w:rPr>
          <w:rFonts w:ascii="Arial" w:hAnsi="Arial"/>
        </w:rPr>
        <w:t xml:space="preserve"> derivation. </w:t>
      </w:r>
    </w:p>
    <w:p w:rsidR="00060ABB" w:rsidRPr="00414FD8" w:rsidRDefault="00060ABB" w:rsidP="00414FD8">
      <w:pPr>
        <w:pStyle w:val="BodyText"/>
        <w:rPr>
          <w:rFonts w:ascii="Arial" w:hAnsi="Arial"/>
        </w:rPr>
      </w:pPr>
    </w:p>
    <w:p w:rsidR="00060ABB" w:rsidRPr="00414FD8" w:rsidRDefault="00FC4ECF" w:rsidP="00414FD8">
      <w:pPr>
        <w:pStyle w:val="BodyText"/>
        <w:rPr>
          <w:rFonts w:ascii="Arial" w:eastAsia="Times" w:hAnsi="Arial"/>
        </w:rPr>
      </w:pPr>
      <w:r>
        <w:rPr>
          <w:rFonts w:ascii="Arial" w:eastAsia="Times" w:hAnsi="Arial"/>
        </w:rPr>
        <w:t xml:space="preserve">2. </w:t>
      </w:r>
      <w:r w:rsidR="00060ABB" w:rsidRPr="00414FD8">
        <w:rPr>
          <w:rFonts w:ascii="Arial" w:eastAsia="Times" w:hAnsi="Arial"/>
        </w:rPr>
        <w:t xml:space="preserve">As an application of the concept of return period, the probability of 1 or more events exceeding the quantile, </w:t>
      </w:r>
      <w:r w:rsidR="00060ABB" w:rsidRPr="00414FD8">
        <w:rPr>
          <w:rFonts w:ascii="Arial" w:hAnsi="Arial"/>
          <w:position w:val="-12"/>
        </w:rPr>
        <w:object w:dxaOrig="620" w:dyaOrig="320">
          <v:shape id="_x0000_i1032" type="#_x0000_t75" style="width:31.2pt;height:16pt" o:ole="">
            <v:imagedata r:id="rId26" r:pict="rId27" o:title=""/>
          </v:shape>
          <o:OLEObject Type="Embed" ProgID="Equation" ShapeID="_x0000_i1032" DrawAspect="Content" ObjectID="_1218652330" r:id="rId28">
            <o:FieldCodes>\* mergeformat</o:FieldCodes>
          </o:OLEObject>
        </w:object>
      </w:r>
      <w:r w:rsidR="005F0C42">
        <w:rPr>
          <w:rFonts w:ascii="Arial" w:hAnsi="Arial"/>
          <w:position w:val="-12"/>
        </w:rPr>
        <w:t xml:space="preserve"> </w:t>
      </w:r>
      <w:r w:rsidR="00060ABB" w:rsidRPr="00414FD8">
        <w:rPr>
          <w:rFonts w:ascii="Arial" w:hAnsi="Arial"/>
        </w:rPr>
        <w:t xml:space="preserve">in n years is given by, </w:t>
      </w:r>
      <w:r w:rsidR="00060ABB" w:rsidRPr="00414FD8">
        <w:rPr>
          <w:rFonts w:ascii="Arial" w:hAnsi="Arial"/>
          <w:position w:val="-6"/>
        </w:rPr>
        <w:object w:dxaOrig="1700" w:dyaOrig="340">
          <v:shape id="_x0000_i1033" type="#_x0000_t75" style="width:84.8pt;height:16.8pt" o:ole="">
            <v:imagedata r:id="rId29" r:pict="rId30" o:title=""/>
          </v:shape>
          <o:OLEObject Type="Embed" ProgID="Equation.3" ShapeID="_x0000_i1033" DrawAspect="Content" ObjectID="_1218652331" r:id="rId31"/>
        </w:object>
      </w:r>
      <w:r w:rsidR="00060ABB" w:rsidRPr="00414FD8">
        <w:rPr>
          <w:rFonts w:ascii="Arial" w:hAnsi="Arial"/>
        </w:rPr>
        <w:t xml:space="preserve">. In the limit as </w:t>
      </w:r>
      <w:r w:rsidR="00060ABB" w:rsidRPr="00414FD8">
        <w:rPr>
          <w:rFonts w:ascii="Arial" w:hAnsi="Arial"/>
          <w:position w:val="-2"/>
        </w:rPr>
        <w:object w:dxaOrig="680" w:dyaOrig="160">
          <v:shape id="_x0000_i1034" type="#_x0000_t75" style="width:34.4pt;height:8pt" o:ole="">
            <v:imagedata r:id="rId32" r:pict="rId33" o:title=""/>
          </v:shape>
          <o:OLEObject Type="Embed" ProgID="Equation.3" ShapeID="_x0000_i1034" DrawAspect="Content" ObjectID="_1218652332" r:id="rId34"/>
        </w:object>
      </w:r>
      <w:r w:rsidR="00060ABB" w:rsidRPr="00414FD8">
        <w:rPr>
          <w:rFonts w:ascii="Arial" w:hAnsi="Arial"/>
        </w:rPr>
        <w:t xml:space="preserve">, this expression becomes, </w:t>
      </w:r>
      <w:r w:rsidR="00060ABB" w:rsidRPr="00414FD8">
        <w:rPr>
          <w:rFonts w:ascii="Arial" w:hAnsi="Arial"/>
          <w:position w:val="-2"/>
        </w:rPr>
        <w:object w:dxaOrig="640" w:dyaOrig="300">
          <v:shape id="_x0000_i1035" type="#_x0000_t75" style="width:32pt;height:15.2pt" o:ole="">
            <v:imagedata r:id="rId35" r:pict="rId36" o:title=""/>
          </v:shape>
          <o:OLEObject Type="Embed" ProgID="Equation.3" ShapeID="_x0000_i1035" DrawAspect="Content" ObjectID="_1218652333" r:id="rId37"/>
        </w:object>
      </w:r>
      <w:r w:rsidR="00060ABB" w:rsidRPr="00414FD8">
        <w:rPr>
          <w:rFonts w:ascii="Arial" w:hAnsi="Arial"/>
        </w:rPr>
        <w:t xml:space="preserve">= 1-0.368 = 0.632. This means that if an engineer designs a project for, say 100 year return period, then there is 63% chance that the design flood will be exceeded one or more times in the life of the project.  It is important to remember this calculation because the concept of 100-year design flood is not </w:t>
      </w:r>
      <w:r w:rsidR="00A72D7F">
        <w:rPr>
          <w:rFonts w:ascii="Arial" w:hAnsi="Arial"/>
        </w:rPr>
        <w:t xml:space="preserve">always </w:t>
      </w:r>
      <w:r w:rsidR="00060ABB" w:rsidRPr="00414FD8">
        <w:rPr>
          <w:rFonts w:ascii="Arial" w:hAnsi="Arial"/>
        </w:rPr>
        <w:t>well ap</w:t>
      </w:r>
      <w:r w:rsidR="00A72D7F">
        <w:rPr>
          <w:rFonts w:ascii="Arial" w:hAnsi="Arial"/>
        </w:rPr>
        <w:t>preciated</w:t>
      </w:r>
      <w:r w:rsidR="00060ABB" w:rsidRPr="00414FD8">
        <w:rPr>
          <w:rFonts w:ascii="Arial" w:hAnsi="Arial"/>
        </w:rPr>
        <w:t>.</w:t>
      </w:r>
    </w:p>
    <w:p w:rsidR="00060ABB" w:rsidRPr="00414FD8" w:rsidRDefault="00060ABB" w:rsidP="00414FD8">
      <w:pPr>
        <w:pStyle w:val="BodyText"/>
        <w:rPr>
          <w:rFonts w:ascii="Arial" w:eastAsia="Times" w:hAnsi="Arial"/>
        </w:rPr>
      </w:pPr>
    </w:p>
    <w:p w:rsidR="00060ABB" w:rsidRPr="005F0C42" w:rsidRDefault="00060ABB" w:rsidP="00414FD8">
      <w:pPr>
        <w:jc w:val="both"/>
        <w:rPr>
          <w:rFonts w:ascii="Arial" w:hAnsi="Arial"/>
          <w:b/>
        </w:rPr>
      </w:pPr>
      <w:r w:rsidRPr="005F0C42">
        <w:rPr>
          <w:rFonts w:ascii="Arial" w:hAnsi="Arial"/>
          <w:b/>
        </w:rPr>
        <w:t>USGS Regional Flood Frequency Analysis</w:t>
      </w:r>
    </w:p>
    <w:p w:rsidR="005F0C42" w:rsidRDefault="00060ABB" w:rsidP="00414FD8">
      <w:pPr>
        <w:jc w:val="both"/>
        <w:rPr>
          <w:rFonts w:ascii="Arial" w:hAnsi="Arial"/>
        </w:rPr>
      </w:pPr>
      <w:r w:rsidRPr="00414FD8">
        <w:rPr>
          <w:rFonts w:ascii="Arial" w:hAnsi="Arial"/>
        </w:rPr>
        <w:tab/>
      </w:r>
    </w:p>
    <w:p w:rsidR="00060ABB" w:rsidRPr="00414FD8" w:rsidRDefault="005F0C42" w:rsidP="00414FD8">
      <w:pPr>
        <w:jc w:val="both"/>
        <w:rPr>
          <w:rFonts w:ascii="Arial" w:hAnsi="Arial"/>
        </w:rPr>
      </w:pPr>
      <w:r>
        <w:rPr>
          <w:rFonts w:ascii="Arial" w:hAnsi="Arial"/>
        </w:rPr>
        <w:t xml:space="preserve">1. </w:t>
      </w:r>
      <w:r w:rsidR="00060ABB" w:rsidRPr="00414FD8">
        <w:rPr>
          <w:rFonts w:ascii="Arial" w:hAnsi="Arial"/>
        </w:rPr>
        <w:t xml:space="preserve">Kinnison and Colby (1945) conducted the first regional flood frequency analysis for the USGS in New England, and developed the </w:t>
      </w:r>
      <w:r w:rsidR="00060ABB" w:rsidRPr="00414FD8">
        <w:rPr>
          <w:rFonts w:ascii="Arial" w:hAnsi="Arial"/>
          <w:i/>
        </w:rPr>
        <w:t>index-flood method</w:t>
      </w:r>
      <w:r w:rsidR="00060ABB" w:rsidRPr="00414FD8">
        <w:rPr>
          <w:rFonts w:ascii="Arial" w:hAnsi="Arial"/>
        </w:rPr>
        <w:t xml:space="preserve">.  They had access to the hard work of Langbein (1947), which provided the drainage basin characteristics for their analysis. The index flood method chooses an “index-flood”, say the mean annual flood, </w:t>
      </w:r>
      <w:r w:rsidR="00060ABB" w:rsidRPr="00414FD8">
        <w:rPr>
          <w:rFonts w:ascii="Arial" w:hAnsi="Arial"/>
          <w:position w:val="-10"/>
        </w:rPr>
        <w:object w:dxaOrig="1700" w:dyaOrig="300">
          <v:shape id="_x0000_i1036" type="#_x0000_t75" style="width:84.8pt;height:15.2pt" o:ole="">
            <v:imagedata r:id="rId38" r:pict="rId39" o:title=""/>
          </v:shape>
          <o:OLEObject Type="Embed" ProgID="Equation" ShapeID="_x0000_i1036" DrawAspect="Content" ObjectID="_1218652334" r:id="rId40">
            <o:FieldCodes>\* mergeformat</o:FieldCodes>
          </o:OLEObject>
        </w:object>
      </w:r>
      <w:r w:rsidR="00060ABB" w:rsidRPr="00414FD8">
        <w:rPr>
          <w:rFonts w:ascii="Arial" w:hAnsi="Arial"/>
        </w:rPr>
        <w:t xml:space="preserve">, where </w:t>
      </w:r>
      <w:r w:rsidR="00060ABB" w:rsidRPr="00414FD8">
        <w:rPr>
          <w:rFonts w:ascii="Arial" w:hAnsi="Arial"/>
          <w:position w:val="-8"/>
        </w:rPr>
        <w:object w:dxaOrig="2360" w:dyaOrig="240">
          <v:shape id="_x0000_i1037" type="#_x0000_t75" style="width:118.4pt;height:12pt" o:ole="" o:bordertopcolor="red" o:borderleftcolor="red" o:borderbottomcolor="red" o:borderrightcolor="red">
            <v:imagedata r:id="rId41" r:pict="rId42" o:title=""/>
          </v:shape>
          <o:OLEObject Type="Embed" ProgID="Equation.3" ShapeID="_x0000_i1037" DrawAspect="Content" ObjectID="_1218652335" r:id="rId43">
            <o:FieldCodes>\* mergeformat</o:FieldCodes>
          </o:OLEObject>
        </w:object>
      </w:r>
      <w:r w:rsidR="00060ABB" w:rsidRPr="00414FD8">
        <w:rPr>
          <w:rFonts w:ascii="Arial" w:hAnsi="Arial"/>
        </w:rPr>
        <w:t xml:space="preserve">. The mean annual flood is regressed against various physical descriptors, but drainage area is the most important, and many times the only descriptor used. Regressions of </w:t>
      </w:r>
      <w:r w:rsidR="00060ABB" w:rsidRPr="00414FD8">
        <w:rPr>
          <w:rFonts w:ascii="Arial" w:hAnsi="Arial"/>
          <w:position w:val="-10"/>
        </w:rPr>
        <w:object w:dxaOrig="1000" w:dyaOrig="320">
          <v:shape id="_x0000_i1038" type="#_x0000_t75" style="width:50.4pt;height:16pt" o:ole="">
            <v:imagedata r:id="rId44" r:pict="rId45" o:title=""/>
          </v:shape>
          <o:OLEObject Type="Embed" ProgID="Equation.3" ShapeID="_x0000_i1038" DrawAspect="Content" ObjectID="_1218652336" r:id="rId46"/>
        </w:object>
      </w:r>
      <w:r w:rsidR="00060ABB" w:rsidRPr="00414FD8">
        <w:rPr>
          <w:rFonts w:ascii="Arial" w:hAnsi="Arial"/>
        </w:rPr>
        <w:t xml:space="preserve"> against log</w:t>
      </w:r>
      <w:r w:rsidR="00506D7B">
        <w:rPr>
          <w:rFonts w:ascii="Arial" w:hAnsi="Arial"/>
        </w:rPr>
        <w:t xml:space="preserve"> </w:t>
      </w:r>
      <w:r w:rsidR="00060ABB" w:rsidRPr="00414FD8">
        <w:rPr>
          <w:rFonts w:ascii="Arial" w:hAnsi="Arial"/>
          <w:i/>
        </w:rPr>
        <w:t>A</w:t>
      </w:r>
      <w:r w:rsidR="00060ABB" w:rsidRPr="00414FD8">
        <w:rPr>
          <w:rFonts w:ascii="Arial" w:hAnsi="Arial"/>
        </w:rPr>
        <w:t xml:space="preserve"> generally show log-lo</w:t>
      </w:r>
      <w:r w:rsidR="00D341A2">
        <w:rPr>
          <w:rFonts w:ascii="Arial" w:hAnsi="Arial"/>
        </w:rPr>
        <w:t>g linearity</w:t>
      </w:r>
      <w:r w:rsidR="00060ABB" w:rsidRPr="00414FD8">
        <w:rPr>
          <w:rFonts w:ascii="Arial" w:hAnsi="Arial"/>
        </w:rPr>
        <w:t>, which can be expressed as</w:t>
      </w:r>
      <w:r w:rsidR="007043AD">
        <w:rPr>
          <w:rFonts w:ascii="Arial" w:hAnsi="Arial"/>
        </w:rPr>
        <w:t xml:space="preserve"> (</w:t>
      </w:r>
      <w:r w:rsidR="00506D7B">
        <w:rPr>
          <w:rFonts w:ascii="Arial" w:hAnsi="Arial"/>
        </w:rPr>
        <w:t>see eq. (13.90) in the Brutsaert</w:t>
      </w:r>
      <w:r w:rsidR="007043AD">
        <w:rPr>
          <w:rFonts w:ascii="Arial" w:hAnsi="Arial"/>
        </w:rPr>
        <w:t>’s</w:t>
      </w:r>
      <w:r w:rsidR="00EF6434">
        <w:rPr>
          <w:rFonts w:ascii="Arial" w:hAnsi="Arial"/>
        </w:rPr>
        <w:t xml:space="preserve"> book)</w:t>
      </w:r>
      <w:r w:rsidR="00060ABB" w:rsidRPr="00414FD8">
        <w:rPr>
          <w:rFonts w:ascii="Arial" w:hAnsi="Arial"/>
        </w:rPr>
        <w:t>,</w:t>
      </w:r>
    </w:p>
    <w:p w:rsidR="00060ABB" w:rsidRPr="00414FD8" w:rsidRDefault="00060ABB" w:rsidP="00414FD8">
      <w:pPr>
        <w:jc w:val="both"/>
        <w:rPr>
          <w:rFonts w:ascii="Arial" w:hAnsi="Arial"/>
        </w:rPr>
      </w:pPr>
    </w:p>
    <w:p w:rsidR="00060ABB" w:rsidRPr="00414FD8" w:rsidRDefault="00060ABB" w:rsidP="00414FD8">
      <w:pPr>
        <w:tabs>
          <w:tab w:val="left" w:pos="0"/>
          <w:tab w:val="left" w:pos="520"/>
        </w:tabs>
        <w:ind w:firstLine="80"/>
        <w:jc w:val="both"/>
        <w:rPr>
          <w:rFonts w:ascii="Arial" w:hAnsi="Arial"/>
        </w:rPr>
      </w:pPr>
      <w:r w:rsidRPr="00414FD8">
        <w:rPr>
          <w:rFonts w:ascii="Arial" w:hAnsi="Arial"/>
        </w:rPr>
        <w:tab/>
      </w:r>
      <w:r w:rsidRPr="00414FD8">
        <w:rPr>
          <w:rFonts w:ascii="Arial" w:hAnsi="Arial"/>
        </w:rPr>
        <w:tab/>
      </w:r>
      <w:r w:rsidRPr="00414FD8">
        <w:rPr>
          <w:rFonts w:ascii="Arial" w:hAnsi="Arial"/>
        </w:rPr>
        <w:tab/>
      </w:r>
      <w:r w:rsidRPr="00414FD8">
        <w:rPr>
          <w:rFonts w:ascii="Arial" w:hAnsi="Arial"/>
        </w:rPr>
        <w:tab/>
      </w:r>
      <w:r w:rsidRPr="00414FD8">
        <w:rPr>
          <w:rFonts w:ascii="Arial" w:hAnsi="Arial"/>
        </w:rPr>
        <w:tab/>
      </w:r>
      <w:r w:rsidRPr="00414FD8">
        <w:rPr>
          <w:rFonts w:ascii="Arial" w:hAnsi="Arial"/>
          <w:position w:val="-12"/>
        </w:rPr>
        <w:object w:dxaOrig="1720" w:dyaOrig="380">
          <v:shape id="_x0000_i1039" type="#_x0000_t75" style="width:86.4pt;height:19.2pt" o:ole="">
            <v:imagedata r:id="rId47" r:pict="rId48" o:title=""/>
          </v:shape>
          <o:OLEObject Type="Embed" ProgID="Equation.3" ShapeID="_x0000_i1039" DrawAspect="Content" ObjectID="_1218652337" r:id="rId49">
            <o:FieldCodes>\* mergeformat</o:FieldCodes>
          </o:OLEObject>
        </w:object>
      </w:r>
      <w:r w:rsidR="00787B83">
        <w:rPr>
          <w:rFonts w:ascii="Arial" w:hAnsi="Arial"/>
        </w:rPr>
        <w:t>,</w:t>
      </w:r>
      <w:r w:rsidR="00787B83">
        <w:rPr>
          <w:rFonts w:ascii="Arial" w:hAnsi="Arial"/>
        </w:rPr>
        <w:tab/>
      </w:r>
      <w:r w:rsidR="00787B83">
        <w:rPr>
          <w:rFonts w:ascii="Arial" w:hAnsi="Arial"/>
        </w:rPr>
        <w:tab/>
      </w:r>
      <w:r w:rsidR="00787B83">
        <w:rPr>
          <w:rFonts w:ascii="Arial" w:hAnsi="Arial"/>
        </w:rPr>
        <w:tab/>
      </w:r>
      <w:r w:rsidR="00787B83">
        <w:rPr>
          <w:rFonts w:ascii="Arial" w:hAnsi="Arial"/>
        </w:rPr>
        <w:tab/>
      </w:r>
      <w:r w:rsidR="00787B83">
        <w:rPr>
          <w:rFonts w:ascii="Arial" w:hAnsi="Arial"/>
        </w:rPr>
        <w:tab/>
      </w:r>
      <w:r w:rsidR="001B730B">
        <w:rPr>
          <w:rFonts w:ascii="Arial" w:hAnsi="Arial"/>
        </w:rPr>
        <w:tab/>
      </w:r>
      <w:r w:rsidR="007043AD">
        <w:rPr>
          <w:rFonts w:ascii="Arial" w:hAnsi="Arial"/>
        </w:rPr>
        <w:t>(3.3)</w:t>
      </w:r>
    </w:p>
    <w:p w:rsidR="00060ABB" w:rsidRPr="00414FD8" w:rsidRDefault="00060ABB" w:rsidP="00414FD8">
      <w:pPr>
        <w:pStyle w:val="body"/>
        <w:widowControl/>
        <w:tabs>
          <w:tab w:val="clear" w:pos="-1440"/>
          <w:tab w:val="clear" w:pos="397"/>
          <w:tab w:val="clear" w:pos="1440"/>
          <w:tab w:val="clear" w:pos="8392"/>
          <w:tab w:val="left" w:pos="520"/>
        </w:tabs>
        <w:suppressAutoHyphens w:val="0"/>
        <w:rPr>
          <w:rFonts w:ascii="Arial" w:eastAsia="Times" w:hAnsi="Arial"/>
          <w:lang w:val="en-US"/>
        </w:rPr>
      </w:pPr>
    </w:p>
    <w:p w:rsidR="00060ABB" w:rsidRPr="00414FD8" w:rsidRDefault="003A1AB6" w:rsidP="00414FD8">
      <w:pPr>
        <w:tabs>
          <w:tab w:val="left" w:pos="0"/>
          <w:tab w:val="left" w:pos="520"/>
        </w:tabs>
        <w:jc w:val="both"/>
        <w:rPr>
          <w:rFonts w:ascii="Arial" w:hAnsi="Arial"/>
        </w:rPr>
      </w:pPr>
      <w:r>
        <w:rPr>
          <w:rFonts w:ascii="Arial" w:hAnsi="Arial"/>
        </w:rPr>
        <w:t xml:space="preserve">2. </w:t>
      </w:r>
      <w:r w:rsidR="00060ABB" w:rsidRPr="00414FD8">
        <w:rPr>
          <w:rFonts w:ascii="Arial" w:hAnsi="Arial"/>
        </w:rPr>
        <w:t xml:space="preserve">The </w:t>
      </w:r>
      <w:r w:rsidR="00060ABB" w:rsidRPr="00414FD8">
        <w:rPr>
          <w:rFonts w:ascii="Arial" w:hAnsi="Arial"/>
          <w:i/>
        </w:rPr>
        <w:t>main assumption</w:t>
      </w:r>
      <w:r w:rsidR="00060ABB" w:rsidRPr="00414FD8">
        <w:rPr>
          <w:rFonts w:ascii="Arial" w:hAnsi="Arial"/>
        </w:rPr>
        <w:t xml:space="preserve"> of the index flood method is that, </w:t>
      </w:r>
    </w:p>
    <w:p w:rsidR="00060ABB" w:rsidRPr="00414FD8" w:rsidRDefault="001B730B" w:rsidP="00414FD8">
      <w:pPr>
        <w:tabs>
          <w:tab w:val="left" w:pos="0"/>
          <w:tab w:val="left" w:pos="520"/>
        </w:tabs>
        <w:jc w:val="both"/>
        <w:rPr>
          <w:rFonts w:ascii="Arial" w:hAnsi="Arial"/>
        </w:rPr>
      </w:pPr>
      <w:r>
        <w:rPr>
          <w:rFonts w:ascii="Arial" w:hAnsi="Arial"/>
        </w:rPr>
        <w:tab/>
      </w:r>
      <w:r>
        <w:rPr>
          <w:rFonts w:ascii="Arial" w:hAnsi="Arial"/>
        </w:rPr>
        <w:tab/>
      </w:r>
    </w:p>
    <w:p w:rsidR="00060ABB" w:rsidRPr="00414FD8" w:rsidRDefault="00060ABB" w:rsidP="00414FD8">
      <w:pPr>
        <w:tabs>
          <w:tab w:val="left" w:pos="0"/>
          <w:tab w:val="left" w:pos="520"/>
        </w:tabs>
        <w:ind w:firstLine="80"/>
        <w:jc w:val="both"/>
        <w:rPr>
          <w:rFonts w:ascii="Arial" w:hAnsi="Arial"/>
        </w:rPr>
      </w:pPr>
      <w:r w:rsidRPr="00414FD8">
        <w:rPr>
          <w:rFonts w:ascii="Arial" w:hAnsi="Arial"/>
        </w:rPr>
        <w:tab/>
      </w:r>
      <w:r w:rsidRPr="00414FD8">
        <w:rPr>
          <w:rFonts w:ascii="Arial" w:hAnsi="Arial"/>
        </w:rPr>
        <w:tab/>
      </w:r>
      <w:r w:rsidRPr="00414FD8">
        <w:rPr>
          <w:rFonts w:ascii="Arial" w:hAnsi="Arial"/>
        </w:rPr>
        <w:tab/>
      </w:r>
      <w:r w:rsidRPr="00414FD8">
        <w:rPr>
          <w:rFonts w:ascii="Arial" w:hAnsi="Arial"/>
        </w:rPr>
        <w:tab/>
      </w:r>
      <w:r w:rsidRPr="00414FD8">
        <w:rPr>
          <w:rFonts w:ascii="Arial" w:hAnsi="Arial"/>
        </w:rPr>
        <w:tab/>
      </w:r>
      <w:r w:rsidRPr="00414FD8">
        <w:rPr>
          <w:rFonts w:ascii="Arial" w:hAnsi="Arial"/>
          <w:position w:val="-14"/>
        </w:rPr>
        <w:object w:dxaOrig="2800" w:dyaOrig="340">
          <v:shape id="_x0000_i1040" type="#_x0000_t75" style="width:140pt;height:16.8pt" o:ole="">
            <v:imagedata r:id="rId50" r:pict="rId51" o:title=""/>
          </v:shape>
          <o:OLEObject Type="Embed" ProgID="Equation" ShapeID="_x0000_i1040" DrawAspect="Content" ObjectID="_1218652338" r:id="rId52">
            <o:FieldCodes>\* mergeformat</o:FieldCodes>
          </o:OLEObject>
        </w:object>
      </w:r>
      <w:r w:rsidRPr="00414FD8">
        <w:rPr>
          <w:rFonts w:ascii="Arial" w:hAnsi="Arial"/>
        </w:rPr>
        <w:t>.</w:t>
      </w:r>
      <w:r w:rsidRPr="00414FD8">
        <w:rPr>
          <w:rFonts w:ascii="Arial" w:hAnsi="Arial"/>
        </w:rPr>
        <w:tab/>
      </w:r>
      <w:r w:rsidRPr="00414FD8">
        <w:rPr>
          <w:rFonts w:ascii="Arial" w:hAnsi="Arial"/>
        </w:rPr>
        <w:tab/>
      </w:r>
      <w:r w:rsidRPr="00414FD8">
        <w:rPr>
          <w:rFonts w:ascii="Arial" w:hAnsi="Arial"/>
        </w:rPr>
        <w:tab/>
      </w:r>
      <w:r w:rsidRPr="00414FD8">
        <w:rPr>
          <w:rFonts w:ascii="Arial" w:hAnsi="Arial"/>
        </w:rPr>
        <w:tab/>
      </w:r>
      <w:r w:rsidR="001B730B">
        <w:rPr>
          <w:rFonts w:ascii="Arial" w:hAnsi="Arial"/>
        </w:rPr>
        <w:tab/>
      </w:r>
      <w:r w:rsidR="007043AD">
        <w:rPr>
          <w:rFonts w:ascii="Arial" w:hAnsi="Arial"/>
        </w:rPr>
        <w:t>(3.4)</w:t>
      </w:r>
    </w:p>
    <w:p w:rsidR="00060ABB" w:rsidRPr="00414FD8" w:rsidRDefault="00060ABB" w:rsidP="00414FD8">
      <w:pPr>
        <w:tabs>
          <w:tab w:val="left" w:pos="0"/>
          <w:tab w:val="left" w:pos="520"/>
        </w:tabs>
        <w:ind w:firstLine="80"/>
        <w:jc w:val="both"/>
        <w:rPr>
          <w:rFonts w:ascii="Arial" w:hAnsi="Arial"/>
        </w:rPr>
      </w:pPr>
    </w:p>
    <w:p w:rsidR="00156CE8" w:rsidRDefault="00060ABB" w:rsidP="00414FD8">
      <w:pPr>
        <w:jc w:val="both"/>
        <w:rPr>
          <w:rFonts w:ascii="Arial" w:hAnsi="Arial"/>
        </w:rPr>
      </w:pPr>
      <w:r w:rsidRPr="00414FD8">
        <w:rPr>
          <w:rFonts w:ascii="Arial" w:hAnsi="Arial"/>
        </w:rPr>
        <w:t xml:space="preserve">It means that the same flood quantile ratio </w:t>
      </w:r>
      <w:r w:rsidRPr="00414FD8">
        <w:rPr>
          <w:rFonts w:ascii="Arial" w:hAnsi="Arial"/>
          <w:position w:val="-12"/>
        </w:rPr>
        <w:object w:dxaOrig="680" w:dyaOrig="320">
          <v:shape id="_x0000_i1041" type="#_x0000_t75" style="width:34.4pt;height:16pt" o:ole="">
            <v:imagedata r:id="rId53" r:pict="rId54" o:title=""/>
          </v:shape>
          <o:OLEObject Type="Embed" ProgID="Equation" ShapeID="_x0000_i1041" DrawAspect="Content" ObjectID="_1218652339" r:id="rId55">
            <o:FieldCodes>\* mergeformat</o:FieldCodes>
          </o:OLEObject>
        </w:object>
      </w:r>
      <w:r w:rsidRPr="00414FD8">
        <w:rPr>
          <w:rFonts w:ascii="Arial" w:hAnsi="Arial"/>
        </w:rPr>
        <w:t xml:space="preserve"> can be used for different size basins, as it does not depend on the drainage area. Then the various </w:t>
      </w:r>
      <w:r w:rsidR="007043AD">
        <w:rPr>
          <w:rFonts w:ascii="Arial" w:hAnsi="Arial"/>
        </w:rPr>
        <w:t>“</w:t>
      </w:r>
      <w:r w:rsidRPr="00414FD8">
        <w:rPr>
          <w:rFonts w:ascii="Arial" w:hAnsi="Arial"/>
        </w:rPr>
        <w:t>non-dimensional flood frequencies</w:t>
      </w:r>
      <w:r w:rsidR="007043AD">
        <w:rPr>
          <w:rFonts w:ascii="Arial" w:hAnsi="Arial"/>
        </w:rPr>
        <w:t>”</w:t>
      </w:r>
      <w:r w:rsidRPr="00414FD8">
        <w:rPr>
          <w:rFonts w:ascii="Arial" w:hAnsi="Arial"/>
        </w:rPr>
        <w:t xml:space="preserve"> are plotted, and an average shape for the region chosen.  The basin characteristics at a non-gauged site can be used to estimate the mean annual flood, and that, along with the non-dimensional average flood frequency distribution, can be used to determine the flood of any return period at an ungauged site.  </w:t>
      </w:r>
    </w:p>
    <w:p w:rsidR="00156CE8" w:rsidRDefault="00156CE8" w:rsidP="00414FD8">
      <w:pPr>
        <w:jc w:val="both"/>
        <w:rPr>
          <w:rFonts w:ascii="Arial" w:hAnsi="Arial"/>
        </w:rPr>
      </w:pPr>
    </w:p>
    <w:p w:rsidR="00156CE8" w:rsidRDefault="00156CE8" w:rsidP="00156CE8">
      <w:pPr>
        <w:jc w:val="both"/>
        <w:rPr>
          <w:rFonts w:ascii="Arial" w:hAnsi="Arial"/>
        </w:rPr>
      </w:pPr>
      <w:r>
        <w:rPr>
          <w:rFonts w:ascii="Arial" w:hAnsi="Arial"/>
        </w:rPr>
        <w:t xml:space="preserve">3. </w:t>
      </w:r>
      <w:r w:rsidR="00060ABB" w:rsidRPr="00156CE8">
        <w:rPr>
          <w:rFonts w:ascii="Arial" w:hAnsi="Arial"/>
        </w:rPr>
        <w:t>Dalrymple (1960) documented the index-flood method, and the USGS developed a national flood-frequency program, based on the 14 parts of the United States into which the nation was divided by major drainage basins.</w:t>
      </w:r>
      <w:r w:rsidR="007043AD">
        <w:rPr>
          <w:rFonts w:ascii="Arial" w:hAnsi="Arial"/>
        </w:rPr>
        <w:t xml:space="preserve"> </w:t>
      </w:r>
      <w:r w:rsidR="007043AD" w:rsidRPr="00156CE8">
        <w:rPr>
          <w:rFonts w:ascii="Arial" w:hAnsi="Arial"/>
        </w:rPr>
        <w:t xml:space="preserve">The USGS began producing flood frequency reports </w:t>
      </w:r>
      <w:r w:rsidR="007043AD">
        <w:rPr>
          <w:rFonts w:ascii="Arial" w:hAnsi="Arial"/>
        </w:rPr>
        <w:t>on a state-by-state basis based</w:t>
      </w:r>
      <w:r w:rsidR="007043AD" w:rsidRPr="00156CE8">
        <w:rPr>
          <w:rFonts w:ascii="Arial" w:hAnsi="Arial"/>
        </w:rPr>
        <w:t xml:space="preserve"> on the index-floo</w:t>
      </w:r>
      <w:r w:rsidR="00911684">
        <w:rPr>
          <w:rFonts w:ascii="Arial" w:hAnsi="Arial"/>
        </w:rPr>
        <w:t>d method. A given state was</w:t>
      </w:r>
      <w:r w:rsidR="007043AD" w:rsidRPr="00156CE8">
        <w:rPr>
          <w:rFonts w:ascii="Arial" w:hAnsi="Arial"/>
        </w:rPr>
        <w:t xml:space="preserve"> divided into homogeneous regions, and a </w:t>
      </w:r>
      <w:r w:rsidR="00911684">
        <w:rPr>
          <w:rFonts w:ascii="Arial" w:hAnsi="Arial"/>
        </w:rPr>
        <w:t xml:space="preserve">non-dimensional flood frequency </w:t>
      </w:r>
      <w:r w:rsidR="007043AD" w:rsidRPr="00156CE8">
        <w:rPr>
          <w:rFonts w:ascii="Arial" w:hAnsi="Arial"/>
        </w:rPr>
        <w:t xml:space="preserve">relation </w:t>
      </w:r>
      <w:r w:rsidR="00911684">
        <w:rPr>
          <w:rFonts w:ascii="Arial" w:hAnsi="Arial"/>
        </w:rPr>
        <w:t xml:space="preserve">was </w:t>
      </w:r>
      <w:r w:rsidR="007043AD" w:rsidRPr="00156CE8">
        <w:rPr>
          <w:rFonts w:ascii="Arial" w:hAnsi="Arial"/>
        </w:rPr>
        <w:t>developed for each region.  However, larger drainage areas were found not to fit the regional relations, and separate relations were developed for use along the major rivers in a state.</w:t>
      </w:r>
    </w:p>
    <w:p w:rsidR="00156CE8" w:rsidRDefault="00156CE8" w:rsidP="00156CE8">
      <w:pPr>
        <w:jc w:val="both"/>
        <w:rPr>
          <w:rFonts w:ascii="Arial" w:hAnsi="Arial"/>
        </w:rPr>
      </w:pPr>
    </w:p>
    <w:p w:rsidR="00493D51" w:rsidRPr="00BB4B27" w:rsidRDefault="00156CE8" w:rsidP="00414FD8">
      <w:pPr>
        <w:jc w:val="both"/>
        <w:rPr>
          <w:rFonts w:ascii="Arial" w:hAnsi="Arial"/>
          <w:i/>
        </w:rPr>
      </w:pPr>
      <w:r>
        <w:rPr>
          <w:rFonts w:ascii="Arial" w:hAnsi="Arial"/>
        </w:rPr>
        <w:t xml:space="preserve">4.  </w:t>
      </w:r>
      <w:r w:rsidR="00060ABB" w:rsidRPr="00414FD8">
        <w:rPr>
          <w:rFonts w:ascii="Arial" w:hAnsi="Arial"/>
        </w:rPr>
        <w:t xml:space="preserve">The fact that larger drainage areas did not fit the general relations, and the general opinion that a single non-dimensional flood frequency relation did not hold in general, led to the establishment in 1956 of a research project on flood frequency analysis headed by Manuel Benson.  Benson held several strongly held views, which influenced the direction of USGS methods in flood frequency analysis, and thus the direction outside the USGS.  Benson did not believe that any distribution held for floods in general, so that data should be plotted and the floods of each return period (or probability, because return period is the reciprocal of probability as shown in eq. </w:t>
      </w:r>
      <w:r w:rsidR="00C66622">
        <w:rPr>
          <w:rFonts w:ascii="Arial" w:hAnsi="Arial"/>
        </w:rPr>
        <w:t>(3.2)</w:t>
      </w:r>
      <w:r w:rsidR="00060ABB" w:rsidRPr="00414FD8">
        <w:rPr>
          <w:rFonts w:ascii="Arial" w:hAnsi="Arial"/>
        </w:rPr>
        <w:t xml:space="preserve">).  Thus, the problem of plotting position became important.  The USGS chose the Weibull plotting position given in eq. </w:t>
      </w:r>
      <w:r w:rsidR="00C66622">
        <w:rPr>
          <w:rFonts w:ascii="Arial" w:hAnsi="Arial"/>
        </w:rPr>
        <w:t>(3.2)</w:t>
      </w:r>
      <w:r w:rsidR="00060ABB" w:rsidRPr="00414FD8">
        <w:rPr>
          <w:rFonts w:ascii="Arial" w:hAnsi="Arial"/>
        </w:rPr>
        <w:t xml:space="preserve">. The USGS chose the annual flood series rather than the partial-duration series (all floods above a given base) because of its statistical properties.  Langbein (1949) had shown that the two series were directly related.  </w:t>
      </w:r>
      <w:r w:rsidR="00060ABB" w:rsidRPr="00BB4B27">
        <w:rPr>
          <w:rFonts w:ascii="Arial" w:hAnsi="Arial"/>
          <w:i/>
        </w:rPr>
        <w:t>Benson further believed that flood frequency curves for recorded streamflows should not be extended much beyond their period of record.</w:t>
      </w:r>
    </w:p>
    <w:p w:rsidR="00493D51" w:rsidRDefault="00493D51" w:rsidP="00414FD8">
      <w:pPr>
        <w:jc w:val="both"/>
        <w:rPr>
          <w:rFonts w:ascii="Arial" w:hAnsi="Arial"/>
        </w:rPr>
      </w:pPr>
    </w:p>
    <w:p w:rsidR="00FA1BE6" w:rsidRDefault="00493D51" w:rsidP="00414FD8">
      <w:pPr>
        <w:jc w:val="both"/>
        <w:rPr>
          <w:rFonts w:ascii="Arial" w:hAnsi="Arial"/>
        </w:rPr>
      </w:pPr>
      <w:r>
        <w:rPr>
          <w:rFonts w:ascii="Arial" w:hAnsi="Arial"/>
        </w:rPr>
        <w:t xml:space="preserve">5. </w:t>
      </w:r>
      <w:r w:rsidR="00060ABB" w:rsidRPr="00414FD8">
        <w:rPr>
          <w:rFonts w:ascii="Arial" w:hAnsi="Arial"/>
        </w:rPr>
        <w:t xml:space="preserve">Benson (1960a) first published a history of flood frequency methods up to 1960, then produced a pair of reports on regional flood frequencies in New England (Benson, 1960b) and the Upper Rio Grande (Benson, 1960c).  The latter two papers laid down the procedures, now called the quantile method, adopted by Benson and followed, with some amendments, </w:t>
      </w:r>
      <w:r w:rsidR="00BB4B27">
        <w:rPr>
          <w:rFonts w:ascii="Arial" w:hAnsi="Arial"/>
        </w:rPr>
        <w:t xml:space="preserve">till </w:t>
      </w:r>
      <w:r w:rsidR="00060ABB" w:rsidRPr="00414FD8">
        <w:rPr>
          <w:rFonts w:ascii="Arial" w:hAnsi="Arial"/>
        </w:rPr>
        <w:t xml:space="preserve">to today.  The quantile method is so called because the flood frequency relations for each measured site is estimated and values are picked off at chosen probabilities of occurrence, or quantiles. </w:t>
      </w:r>
    </w:p>
    <w:p w:rsidR="007E3E2E" w:rsidRDefault="007E3E2E" w:rsidP="00414FD8">
      <w:pPr>
        <w:jc w:val="both"/>
        <w:rPr>
          <w:rFonts w:ascii="Arial" w:hAnsi="Arial"/>
        </w:rPr>
      </w:pPr>
    </w:p>
    <w:p w:rsidR="0021291D" w:rsidRDefault="007E3E2E" w:rsidP="007E3E2E">
      <w:pPr>
        <w:jc w:val="both"/>
        <w:rPr>
          <w:rFonts w:ascii="Arial" w:hAnsi="Arial"/>
        </w:rPr>
      </w:pPr>
      <w:r>
        <w:rPr>
          <w:rFonts w:ascii="Arial" w:hAnsi="Arial"/>
        </w:rPr>
        <w:t xml:space="preserve">6. </w:t>
      </w:r>
      <w:r w:rsidR="00060ABB" w:rsidRPr="00414FD8">
        <w:rPr>
          <w:rFonts w:ascii="Arial" w:hAnsi="Arial"/>
        </w:rPr>
        <w:t xml:space="preserve">Many different frequency functions are available but the USGS commonly uses log-Pearson </w:t>
      </w:r>
      <w:r w:rsidR="00584C2F">
        <w:rPr>
          <w:rFonts w:ascii="Arial" w:hAnsi="Arial"/>
        </w:rPr>
        <w:t>type III (</w:t>
      </w:r>
      <w:r w:rsidR="00FC359E">
        <w:rPr>
          <w:rFonts w:ascii="Arial" w:hAnsi="Arial"/>
        </w:rPr>
        <w:t xml:space="preserve">Brutsaert, 2005, </w:t>
      </w:r>
      <w:r w:rsidR="00584C2F">
        <w:rPr>
          <w:rFonts w:ascii="Arial" w:hAnsi="Arial"/>
        </w:rPr>
        <w:t>Section 13.4.4</w:t>
      </w:r>
      <w:r>
        <w:rPr>
          <w:rFonts w:ascii="Arial" w:hAnsi="Arial"/>
        </w:rPr>
        <w:t>)</w:t>
      </w:r>
      <w:r w:rsidR="00060ABB" w:rsidRPr="00414FD8">
        <w:rPr>
          <w:rFonts w:ascii="Arial" w:hAnsi="Arial"/>
        </w:rPr>
        <w:t xml:space="preserve"> for historic administrative reasons that we will not discuss here. For the same return period, the quantile at each station is regressed against physical descriptors, of which drainage area is the most important, and many times the only descriptor used. The regression equations so obtained are then used to make predictions within the same region where no stream flow data exists. Regional flood and low frequency analyses have served as engineering solution to the predictions in ungauged basins (PUB) problem. </w:t>
      </w:r>
    </w:p>
    <w:p w:rsidR="0021291D" w:rsidRDefault="0021291D" w:rsidP="007E3E2E">
      <w:pPr>
        <w:jc w:val="both"/>
        <w:rPr>
          <w:rFonts w:ascii="Arial" w:hAnsi="Arial"/>
        </w:rPr>
      </w:pPr>
    </w:p>
    <w:p w:rsidR="00060ABB" w:rsidRPr="00414FD8" w:rsidRDefault="0021291D" w:rsidP="007E3E2E">
      <w:pPr>
        <w:jc w:val="both"/>
        <w:rPr>
          <w:rFonts w:ascii="Arial" w:hAnsi="Arial"/>
        </w:rPr>
      </w:pPr>
      <w:r>
        <w:rPr>
          <w:rFonts w:ascii="Arial" w:hAnsi="Arial"/>
        </w:rPr>
        <w:t xml:space="preserve">7. </w:t>
      </w:r>
      <w:r w:rsidR="00060ABB" w:rsidRPr="00414FD8">
        <w:rPr>
          <w:rFonts w:ascii="Arial" w:hAnsi="Arial"/>
        </w:rPr>
        <w:t xml:space="preserve">The </w:t>
      </w:r>
      <w:r w:rsidRPr="00414FD8">
        <w:rPr>
          <w:rFonts w:ascii="Arial" w:hAnsi="Arial"/>
        </w:rPr>
        <w:t xml:space="preserve">quantile regression </w:t>
      </w:r>
      <w:r w:rsidR="00060ABB" w:rsidRPr="00414FD8">
        <w:rPr>
          <w:rFonts w:ascii="Arial" w:hAnsi="Arial"/>
        </w:rPr>
        <w:t>approach has been extended to water quality and other physical variables a</w:t>
      </w:r>
      <w:r>
        <w:rPr>
          <w:rFonts w:ascii="Arial" w:hAnsi="Arial"/>
        </w:rPr>
        <w:t>s well.  But the</w:t>
      </w:r>
      <w:r w:rsidR="00060ABB" w:rsidRPr="00414FD8">
        <w:rPr>
          <w:rFonts w:ascii="Arial" w:hAnsi="Arial"/>
        </w:rPr>
        <w:t xml:space="preserve"> approach lacks any connection with the physical processes that transform rainfall to runoff and generate </w:t>
      </w:r>
      <w:r w:rsidR="00F63336">
        <w:rPr>
          <w:rFonts w:ascii="Arial" w:hAnsi="Arial"/>
        </w:rPr>
        <w:t>floods and low flows. D</w:t>
      </w:r>
      <w:r w:rsidR="00060ABB" w:rsidRPr="00414FD8">
        <w:rPr>
          <w:rFonts w:ascii="Arial" w:hAnsi="Arial"/>
        </w:rPr>
        <w:t xml:space="preserve">ifferent district offices of the USGS publish annual reports on regional flood and low frequency analyses.  </w:t>
      </w:r>
    </w:p>
    <w:p w:rsidR="00060ABB" w:rsidRPr="00414FD8" w:rsidRDefault="00060ABB" w:rsidP="00414FD8">
      <w:pPr>
        <w:pStyle w:val="BodyText"/>
        <w:rPr>
          <w:rFonts w:ascii="Arial" w:eastAsia="Times" w:hAnsi="Arial"/>
          <w:u w:val="single"/>
        </w:rPr>
      </w:pPr>
    </w:p>
    <w:p w:rsidR="00060ABB" w:rsidRPr="00414FD8" w:rsidRDefault="00060ABB" w:rsidP="00414FD8">
      <w:pPr>
        <w:pStyle w:val="BodyText"/>
        <w:rPr>
          <w:rFonts w:ascii="Arial" w:eastAsia="Times" w:hAnsi="Arial"/>
          <w:u w:val="single"/>
        </w:rPr>
      </w:pPr>
    </w:p>
    <w:p w:rsidR="00060ABB" w:rsidRPr="00F24A98" w:rsidRDefault="00060ABB" w:rsidP="00414FD8">
      <w:pPr>
        <w:rPr>
          <w:rFonts w:ascii="Arial" w:hAnsi="Arial"/>
          <w:b/>
        </w:rPr>
      </w:pPr>
      <w:r w:rsidRPr="00F24A98">
        <w:rPr>
          <w:rFonts w:ascii="Arial" w:hAnsi="Arial"/>
          <w:b/>
        </w:rPr>
        <w:t>Rainfall-Runoff Models For Deriving Flood Frequencies</w:t>
      </w:r>
    </w:p>
    <w:p w:rsidR="00F24A98" w:rsidRDefault="00F24A98" w:rsidP="00414FD8">
      <w:pPr>
        <w:pStyle w:val="BodyTextIndent3"/>
        <w:rPr>
          <w:rFonts w:ascii="Arial" w:eastAsia="Times" w:hAnsi="Arial"/>
        </w:rPr>
      </w:pPr>
    </w:p>
    <w:p w:rsidR="00382E8C" w:rsidRDefault="00060ABB" w:rsidP="00382E8C">
      <w:pPr>
        <w:pStyle w:val="BodyTextIndent3"/>
        <w:numPr>
          <w:ilvl w:val="0"/>
          <w:numId w:val="4"/>
        </w:numPr>
        <w:tabs>
          <w:tab w:val="left" w:pos="360"/>
        </w:tabs>
        <w:ind w:left="0" w:firstLine="0"/>
        <w:rPr>
          <w:rFonts w:ascii="Arial" w:eastAsia="Times" w:hAnsi="Arial"/>
        </w:rPr>
      </w:pPr>
      <w:r w:rsidRPr="00414FD8">
        <w:rPr>
          <w:rFonts w:ascii="Arial" w:eastAsia="Times" w:hAnsi="Arial"/>
        </w:rPr>
        <w:t>Federal agencies other than the USGS often us</w:t>
      </w:r>
      <w:r w:rsidR="00382E8C">
        <w:rPr>
          <w:rFonts w:ascii="Arial" w:eastAsia="Times" w:hAnsi="Arial"/>
        </w:rPr>
        <w:t xml:space="preserve">e deterministic rainfall-runoff </w:t>
      </w:r>
      <w:r w:rsidRPr="00414FD8">
        <w:rPr>
          <w:rFonts w:ascii="Arial" w:eastAsia="Times" w:hAnsi="Arial"/>
        </w:rPr>
        <w:t>models for flood frequency analysis.  The general procedure is to estimate a storm, which is designed to produce a peak of a given frequency when used in conjunction with a deterministic rainfall-runoff model.  The two most well known are the HEC-1 model of the Corps of Engineers (</w:t>
      </w:r>
      <w:r w:rsidRPr="00414FD8">
        <w:rPr>
          <w:rFonts w:ascii="Arial" w:hAnsi="Arial"/>
        </w:rPr>
        <w:t>Hydrologic Engineering Center</w:t>
      </w:r>
      <w:r w:rsidRPr="00414FD8">
        <w:rPr>
          <w:rFonts w:ascii="Arial" w:eastAsia="Times" w:hAnsi="Arial"/>
        </w:rPr>
        <w:t xml:space="preserve">, 1990), which actually is a suite of models from generalized unit hydrograph methods through distributed parameter </w:t>
      </w:r>
      <w:r w:rsidR="00DF28CC">
        <w:rPr>
          <w:rFonts w:ascii="Arial" w:eastAsia="Times" w:hAnsi="Arial"/>
        </w:rPr>
        <w:t>rainfall-</w:t>
      </w:r>
      <w:r w:rsidRPr="00414FD8">
        <w:rPr>
          <w:rFonts w:ascii="Arial" w:eastAsia="Times" w:hAnsi="Arial"/>
        </w:rPr>
        <w:t>runoff models, and the well-known SCS Curve Number model (</w:t>
      </w:r>
      <w:r w:rsidRPr="00414FD8">
        <w:rPr>
          <w:rFonts w:ascii="Arial" w:hAnsi="Arial"/>
        </w:rPr>
        <w:t>Soil Conservation Service</w:t>
      </w:r>
      <w:r w:rsidRPr="00414FD8">
        <w:rPr>
          <w:rFonts w:ascii="Arial" w:eastAsia="Times" w:hAnsi="Arial"/>
        </w:rPr>
        <w:t>, 1973).  The SCS model has been adopted by many local flood control agencies because of its simplicity of use. Although developed originally for design of farm ponds, and the original use was for storm volumes, with a warning that it was not to be used for continuous streamflows, the SCS method is now widely used for deriving excess rainfall for use with the SCS unit hydrograph to generate peaks of given recurrences.</w:t>
      </w:r>
    </w:p>
    <w:p w:rsidR="00382E8C" w:rsidRDefault="00382E8C" w:rsidP="00382E8C">
      <w:pPr>
        <w:pStyle w:val="BodyTextIndent3"/>
        <w:tabs>
          <w:tab w:val="left" w:pos="360"/>
        </w:tabs>
        <w:ind w:firstLine="0"/>
        <w:rPr>
          <w:rFonts w:ascii="Arial" w:eastAsia="Times" w:hAnsi="Arial"/>
        </w:rPr>
      </w:pPr>
    </w:p>
    <w:p w:rsidR="00060ABB" w:rsidRPr="00382E8C" w:rsidRDefault="00060ABB" w:rsidP="00382E8C">
      <w:pPr>
        <w:pStyle w:val="BodyTextIndent3"/>
        <w:numPr>
          <w:ilvl w:val="0"/>
          <w:numId w:val="4"/>
        </w:numPr>
        <w:tabs>
          <w:tab w:val="left" w:pos="360"/>
        </w:tabs>
        <w:ind w:left="0" w:firstLine="0"/>
        <w:rPr>
          <w:rFonts w:ascii="Arial" w:eastAsia="Times" w:hAnsi="Arial"/>
        </w:rPr>
      </w:pPr>
      <w:r w:rsidRPr="00382E8C">
        <w:rPr>
          <w:rFonts w:ascii="Arial" w:eastAsia="Times" w:hAnsi="Arial"/>
        </w:rPr>
        <w:t>The most advanced attempt to use deterministic rainfall-runoff model to obtain a flood frequency distribution is th</w:t>
      </w:r>
      <w:r w:rsidR="00980D1C">
        <w:rPr>
          <w:rFonts w:ascii="Arial" w:eastAsia="Times" w:hAnsi="Arial"/>
        </w:rPr>
        <w:t>at of Eagleson (1972).  He</w:t>
      </w:r>
      <w:r w:rsidRPr="00382E8C">
        <w:rPr>
          <w:rFonts w:ascii="Arial" w:eastAsia="Times" w:hAnsi="Arial"/>
        </w:rPr>
        <w:t xml:space="preserve"> took a distribution of rainfall and passed it through a representation of the basin as a response function to generate a flood frequency distribution. He demonstrated that a deterministic representation of basin could be combined with knowledge of the </w:t>
      </w:r>
      <w:r w:rsidR="00382E8C">
        <w:rPr>
          <w:rFonts w:ascii="Arial" w:eastAsia="Times" w:hAnsi="Arial"/>
        </w:rPr>
        <w:t xml:space="preserve">statistical </w:t>
      </w:r>
      <w:r w:rsidRPr="00382E8C">
        <w:rPr>
          <w:rFonts w:ascii="Arial" w:eastAsia="Times" w:hAnsi="Arial"/>
        </w:rPr>
        <w:t>rainfall characteristics of the basin to derive a flood frequency distribution for the basin.  However, the approach has not been developed to the point of application in practice.</w:t>
      </w:r>
    </w:p>
    <w:p w:rsidR="00382E8C" w:rsidRPr="00382E8C" w:rsidRDefault="00382E8C" w:rsidP="00414FD8">
      <w:pPr>
        <w:rPr>
          <w:rFonts w:ascii="Arial" w:hAnsi="Arial"/>
          <w:b/>
        </w:rPr>
      </w:pPr>
    </w:p>
    <w:p w:rsidR="00382E8C" w:rsidRDefault="00060ABB" w:rsidP="00414FD8">
      <w:pPr>
        <w:rPr>
          <w:rFonts w:ascii="Arial" w:hAnsi="Arial"/>
          <w:b/>
        </w:rPr>
      </w:pPr>
      <w:r w:rsidRPr="00382E8C">
        <w:rPr>
          <w:rFonts w:ascii="Arial" w:hAnsi="Arial"/>
          <w:b/>
        </w:rPr>
        <w:t xml:space="preserve">Impact of USGS Regional Flood Frequency Equations </w:t>
      </w:r>
    </w:p>
    <w:p w:rsidR="00382E8C" w:rsidRDefault="00382E8C" w:rsidP="00414FD8">
      <w:pPr>
        <w:rPr>
          <w:rFonts w:ascii="Arial" w:hAnsi="Arial"/>
          <w:b/>
        </w:rPr>
      </w:pPr>
    </w:p>
    <w:p w:rsidR="00382E8C" w:rsidRDefault="00060ABB" w:rsidP="00382E8C">
      <w:pPr>
        <w:pStyle w:val="ListParagraph"/>
        <w:numPr>
          <w:ilvl w:val="0"/>
          <w:numId w:val="5"/>
        </w:numPr>
        <w:tabs>
          <w:tab w:val="left" w:pos="270"/>
        </w:tabs>
        <w:ind w:left="0" w:firstLine="0"/>
        <w:rPr>
          <w:rFonts w:ascii="Arial" w:hAnsi="Arial"/>
        </w:rPr>
      </w:pPr>
      <w:r w:rsidRPr="00382E8C">
        <w:rPr>
          <w:rFonts w:ascii="Arial" w:hAnsi="Arial"/>
        </w:rPr>
        <w:t xml:space="preserve">The statistical approach of the USGS is data intensive, and depends on their extensive stream-gauging network.  A Federal Interagency Committee undertook an inter-comparison of methods for the prediction of flood frequency discharges at ungauged sites, and the USGS quantile method was minimum variance and least biased of all the models compared (Newton and Herrin, 1981).  Various improvements have been made by the USGS in their estimation of quantile discharges.  They use a generalized least squares method and give a weighted estimate of the at-a-station data and the regional data.  They are moving toward an approach, which uses all nearby data to determine a unique discharge at any ungauged site, rather than deriving standard regional flood frequency equations. </w:t>
      </w:r>
    </w:p>
    <w:p w:rsidR="00382E8C" w:rsidRDefault="00382E8C" w:rsidP="00382E8C">
      <w:pPr>
        <w:tabs>
          <w:tab w:val="left" w:pos="270"/>
        </w:tabs>
        <w:rPr>
          <w:rFonts w:ascii="Arial" w:hAnsi="Arial"/>
        </w:rPr>
      </w:pPr>
    </w:p>
    <w:p w:rsidR="005A02BC" w:rsidRDefault="00060ABB" w:rsidP="00375D51">
      <w:pPr>
        <w:pStyle w:val="ListParagraph"/>
        <w:numPr>
          <w:ilvl w:val="0"/>
          <w:numId w:val="5"/>
        </w:numPr>
        <w:tabs>
          <w:tab w:val="left" w:pos="270"/>
        </w:tabs>
        <w:ind w:left="0" w:firstLine="0"/>
        <w:rPr>
          <w:rFonts w:ascii="Arial" w:hAnsi="Arial"/>
        </w:rPr>
      </w:pPr>
      <w:r w:rsidRPr="000F73B1">
        <w:rPr>
          <w:rFonts w:ascii="Arial" w:hAnsi="Arial"/>
        </w:rPr>
        <w:t>Because of the USGS regional approach and its wide use, many studies of regional flood frequency methods have been undertaken.  The USGS has developed an “equivalent length of record” for their regional equations, and has developed worth of data and network design approaches based on the statistics of their data network.</w:t>
      </w:r>
    </w:p>
    <w:p w:rsidR="005A02BC" w:rsidRPr="005A02BC" w:rsidRDefault="005A02BC" w:rsidP="005A02BC">
      <w:pPr>
        <w:tabs>
          <w:tab w:val="left" w:pos="270"/>
        </w:tabs>
        <w:rPr>
          <w:rFonts w:ascii="Arial" w:hAnsi="Arial"/>
        </w:rPr>
      </w:pPr>
    </w:p>
    <w:p w:rsidR="006C77B6" w:rsidRDefault="005A02BC" w:rsidP="005A02BC">
      <w:pPr>
        <w:tabs>
          <w:tab w:val="left" w:pos="270"/>
        </w:tabs>
        <w:rPr>
          <w:rFonts w:ascii="Arial" w:hAnsi="Arial"/>
          <w:b/>
        </w:rPr>
      </w:pPr>
      <w:r w:rsidRPr="005A02BC">
        <w:rPr>
          <w:rFonts w:ascii="Arial" w:hAnsi="Arial"/>
          <w:b/>
        </w:rPr>
        <w:t>Reading Assignment</w:t>
      </w:r>
      <w:r>
        <w:rPr>
          <w:rFonts w:ascii="Arial" w:hAnsi="Arial"/>
          <w:b/>
        </w:rPr>
        <w:t>s</w:t>
      </w:r>
      <w:r w:rsidRPr="005A02BC">
        <w:rPr>
          <w:rFonts w:ascii="Arial" w:hAnsi="Arial"/>
          <w:b/>
        </w:rPr>
        <w:t>:</w:t>
      </w:r>
    </w:p>
    <w:p w:rsidR="006C77B6" w:rsidRDefault="006C77B6" w:rsidP="005A02BC">
      <w:pPr>
        <w:tabs>
          <w:tab w:val="left" w:pos="270"/>
        </w:tabs>
        <w:rPr>
          <w:rFonts w:ascii="Arial" w:hAnsi="Arial"/>
          <w:b/>
        </w:rPr>
      </w:pPr>
    </w:p>
    <w:p w:rsidR="005A02BC" w:rsidRDefault="006C77B6" w:rsidP="005A02BC">
      <w:pPr>
        <w:tabs>
          <w:tab w:val="left" w:pos="270"/>
        </w:tabs>
        <w:rPr>
          <w:rFonts w:ascii="Arial" w:hAnsi="Arial"/>
          <w:b/>
        </w:rPr>
      </w:pPr>
      <w:r>
        <w:rPr>
          <w:rFonts w:ascii="Arial" w:hAnsi="Arial"/>
          <w:b/>
        </w:rPr>
        <w:t xml:space="preserve">1. </w:t>
      </w:r>
      <w:r>
        <w:rPr>
          <w:rFonts w:ascii="Arial" w:hAnsi="Arial"/>
        </w:rPr>
        <w:t>Sections</w:t>
      </w:r>
      <w:r>
        <w:rPr>
          <w:rFonts w:ascii="Helvetica" w:eastAsiaTheme="minorHAnsi" w:hAnsi="Helvetica" w:cs="Helvetica"/>
          <w:sz w:val="28"/>
          <w:szCs w:val="28"/>
        </w:rPr>
        <w:t xml:space="preserve"> 13.2.1, 13.2.2, 13.2.3 (review of probability)</w:t>
      </w:r>
    </w:p>
    <w:p w:rsidR="005A02BC" w:rsidRDefault="005A02BC" w:rsidP="005A02BC">
      <w:pPr>
        <w:tabs>
          <w:tab w:val="left" w:pos="270"/>
        </w:tabs>
        <w:rPr>
          <w:rFonts w:ascii="Arial" w:hAnsi="Arial"/>
          <w:b/>
        </w:rPr>
      </w:pPr>
    </w:p>
    <w:p w:rsidR="000F73B1" w:rsidRPr="005A02BC" w:rsidRDefault="006C77B6" w:rsidP="005A02BC">
      <w:pPr>
        <w:tabs>
          <w:tab w:val="left" w:pos="270"/>
        </w:tabs>
        <w:rPr>
          <w:rFonts w:ascii="Arial" w:hAnsi="Arial"/>
          <w:b/>
        </w:rPr>
      </w:pPr>
      <w:r>
        <w:rPr>
          <w:rFonts w:ascii="Arial" w:hAnsi="Arial"/>
          <w:b/>
        </w:rPr>
        <w:t>2</w:t>
      </w:r>
      <w:r w:rsidR="005A02BC">
        <w:rPr>
          <w:rFonts w:ascii="Arial" w:hAnsi="Arial"/>
          <w:b/>
        </w:rPr>
        <w:t xml:space="preserve">. </w:t>
      </w:r>
      <w:r w:rsidR="005A02BC">
        <w:rPr>
          <w:rFonts w:ascii="Arial" w:hAnsi="Arial"/>
        </w:rPr>
        <w:t>Section</w:t>
      </w:r>
      <w:r w:rsidR="005F2001">
        <w:rPr>
          <w:rFonts w:ascii="Arial" w:hAnsi="Arial"/>
        </w:rPr>
        <w:t>s</w:t>
      </w:r>
      <w:r w:rsidR="005A02BC">
        <w:rPr>
          <w:rFonts w:ascii="Arial" w:hAnsi="Arial"/>
        </w:rPr>
        <w:t xml:space="preserve"> 13.2.4 and 13.5</w:t>
      </w:r>
      <w:r w:rsidR="00271754">
        <w:rPr>
          <w:rFonts w:ascii="Arial" w:hAnsi="Arial"/>
        </w:rPr>
        <w:t>.2</w:t>
      </w:r>
      <w:r w:rsidR="002E5BA9">
        <w:rPr>
          <w:rFonts w:ascii="Arial" w:hAnsi="Arial"/>
        </w:rPr>
        <w:t>.</w:t>
      </w:r>
    </w:p>
    <w:p w:rsidR="00244F6C" w:rsidRDefault="00244F6C" w:rsidP="00414FD8">
      <w:pPr>
        <w:jc w:val="both"/>
        <w:rPr>
          <w:rFonts w:ascii="Arial" w:hAnsi="Arial"/>
        </w:rPr>
      </w:pPr>
    </w:p>
    <w:p w:rsidR="00244F6C" w:rsidRDefault="00244F6C" w:rsidP="00414FD8">
      <w:pPr>
        <w:jc w:val="both"/>
        <w:rPr>
          <w:rFonts w:ascii="Arial" w:hAnsi="Arial"/>
        </w:rPr>
      </w:pPr>
    </w:p>
    <w:p w:rsidR="00244F6C" w:rsidRDefault="00244F6C" w:rsidP="00414FD8">
      <w:pPr>
        <w:jc w:val="both"/>
        <w:rPr>
          <w:rFonts w:ascii="Arial" w:hAnsi="Arial"/>
        </w:rPr>
      </w:pPr>
    </w:p>
    <w:p w:rsidR="00244F6C" w:rsidRDefault="00244F6C" w:rsidP="00414FD8">
      <w:pPr>
        <w:jc w:val="both"/>
        <w:rPr>
          <w:rFonts w:ascii="Arial" w:hAnsi="Arial"/>
        </w:rPr>
      </w:pPr>
    </w:p>
    <w:p w:rsidR="00244F6C" w:rsidRDefault="00244F6C" w:rsidP="00414FD8">
      <w:pPr>
        <w:jc w:val="both"/>
        <w:rPr>
          <w:rFonts w:ascii="Arial" w:hAnsi="Arial"/>
        </w:rPr>
      </w:pPr>
    </w:p>
    <w:p w:rsidR="008F16F4" w:rsidRDefault="008F16F4" w:rsidP="00414FD8">
      <w:pPr>
        <w:jc w:val="both"/>
        <w:rPr>
          <w:rFonts w:ascii="Arial" w:hAnsi="Arial"/>
        </w:rPr>
      </w:pPr>
    </w:p>
    <w:p w:rsidR="00060ABB" w:rsidRPr="00414FD8" w:rsidRDefault="000F73B1" w:rsidP="00414FD8">
      <w:pPr>
        <w:jc w:val="both"/>
        <w:rPr>
          <w:rFonts w:ascii="Arial" w:hAnsi="Arial"/>
          <w:b/>
        </w:rPr>
      </w:pPr>
      <w:r w:rsidRPr="00414FD8">
        <w:rPr>
          <w:rFonts w:ascii="Arial" w:hAnsi="Arial"/>
          <w:b/>
        </w:rPr>
        <w:t>References</w:t>
      </w:r>
    </w:p>
    <w:p w:rsidR="00060ABB" w:rsidRPr="00414FD8" w:rsidRDefault="00060ABB" w:rsidP="00414FD8">
      <w:pPr>
        <w:ind w:left="720" w:hanging="720"/>
        <w:jc w:val="both"/>
        <w:rPr>
          <w:rFonts w:ascii="Arial" w:hAnsi="Arial"/>
        </w:rPr>
      </w:pPr>
    </w:p>
    <w:p w:rsidR="00060ABB" w:rsidRPr="00414FD8" w:rsidRDefault="00060ABB" w:rsidP="00414FD8">
      <w:pPr>
        <w:ind w:left="720" w:hanging="720"/>
        <w:jc w:val="both"/>
        <w:rPr>
          <w:rFonts w:ascii="Arial" w:hAnsi="Arial"/>
        </w:rPr>
      </w:pPr>
      <w:r w:rsidRPr="00414FD8">
        <w:rPr>
          <w:rFonts w:ascii="Arial" w:hAnsi="Arial"/>
        </w:rPr>
        <w:t xml:space="preserve">Benson, M. A. Evolution of Methods for Evaluating the Occurrence of Floods, </w:t>
      </w:r>
      <w:r w:rsidRPr="00414FD8">
        <w:rPr>
          <w:rFonts w:ascii="Arial" w:hAnsi="Arial"/>
          <w:i/>
        </w:rPr>
        <w:t>USGS Water Supply Paper</w:t>
      </w:r>
      <w:r w:rsidRPr="00414FD8">
        <w:rPr>
          <w:rFonts w:ascii="Arial" w:hAnsi="Arial"/>
        </w:rPr>
        <w:t xml:space="preserve"> 1580-A, 1960a.</w:t>
      </w:r>
    </w:p>
    <w:p w:rsidR="00060ABB" w:rsidRPr="00414FD8" w:rsidRDefault="00060ABB" w:rsidP="00414FD8">
      <w:pPr>
        <w:ind w:left="720" w:hanging="720"/>
        <w:jc w:val="both"/>
        <w:rPr>
          <w:rFonts w:ascii="Arial" w:hAnsi="Arial"/>
        </w:rPr>
      </w:pPr>
    </w:p>
    <w:p w:rsidR="00060ABB" w:rsidRPr="00414FD8" w:rsidRDefault="00060ABB" w:rsidP="00414FD8">
      <w:pPr>
        <w:ind w:left="720" w:hanging="720"/>
        <w:jc w:val="both"/>
        <w:rPr>
          <w:rFonts w:ascii="Arial" w:hAnsi="Arial"/>
        </w:rPr>
      </w:pPr>
      <w:r w:rsidRPr="00414FD8">
        <w:rPr>
          <w:rFonts w:ascii="Arial" w:hAnsi="Arial"/>
        </w:rPr>
        <w:t xml:space="preserve">Benson, M. A. Factors Influencing the Occurrence of Floods in a Humid Region of diverse terrain, </w:t>
      </w:r>
      <w:r w:rsidRPr="00414FD8">
        <w:rPr>
          <w:rFonts w:ascii="Arial" w:hAnsi="Arial"/>
          <w:i/>
        </w:rPr>
        <w:t>USGS Water Supply Paper</w:t>
      </w:r>
      <w:r w:rsidRPr="00414FD8">
        <w:rPr>
          <w:rFonts w:ascii="Arial" w:hAnsi="Arial"/>
        </w:rPr>
        <w:t xml:space="preserve"> 1580-A, 1960b.</w:t>
      </w:r>
    </w:p>
    <w:p w:rsidR="00060ABB" w:rsidRPr="00414FD8" w:rsidRDefault="00060ABB" w:rsidP="00414FD8">
      <w:pPr>
        <w:ind w:left="720" w:hanging="720"/>
        <w:jc w:val="both"/>
        <w:rPr>
          <w:rFonts w:ascii="Arial" w:hAnsi="Arial"/>
        </w:rPr>
      </w:pPr>
    </w:p>
    <w:p w:rsidR="00CC0FA1" w:rsidRDefault="00060ABB" w:rsidP="00414FD8">
      <w:pPr>
        <w:ind w:left="720" w:hanging="720"/>
        <w:jc w:val="both"/>
        <w:rPr>
          <w:rFonts w:ascii="Arial" w:hAnsi="Arial"/>
        </w:rPr>
      </w:pPr>
      <w:r w:rsidRPr="00414FD8">
        <w:rPr>
          <w:rFonts w:ascii="Arial" w:hAnsi="Arial"/>
        </w:rPr>
        <w:t xml:space="preserve">Benson, M. A. Factors Influencing the Occurrence of Floods in the Southwest, </w:t>
      </w:r>
      <w:r w:rsidRPr="00414FD8">
        <w:rPr>
          <w:rFonts w:ascii="Arial" w:hAnsi="Arial"/>
          <w:i/>
        </w:rPr>
        <w:t>USGS Water Supply Paper</w:t>
      </w:r>
      <w:r w:rsidRPr="00414FD8">
        <w:rPr>
          <w:rFonts w:ascii="Arial" w:hAnsi="Arial"/>
        </w:rPr>
        <w:t xml:space="preserve"> 1580-D, 1960c.</w:t>
      </w:r>
    </w:p>
    <w:p w:rsidR="00CC0FA1" w:rsidRDefault="00CC0FA1" w:rsidP="00414FD8">
      <w:pPr>
        <w:ind w:left="720" w:hanging="720"/>
        <w:jc w:val="both"/>
        <w:rPr>
          <w:rFonts w:ascii="Arial" w:hAnsi="Arial"/>
        </w:rPr>
      </w:pPr>
    </w:p>
    <w:p w:rsidR="00060ABB" w:rsidRPr="00443387" w:rsidRDefault="00443387" w:rsidP="00443387">
      <w:pPr>
        <w:widowControl w:val="0"/>
        <w:autoSpaceDE w:val="0"/>
        <w:autoSpaceDN w:val="0"/>
        <w:adjustRightInd w:val="0"/>
        <w:jc w:val="both"/>
      </w:pPr>
      <w:r w:rsidRPr="00C94CEA">
        <w:rPr>
          <w:rFonts w:ascii="Arial" w:hAnsi="Arial"/>
        </w:rPr>
        <w:t xml:space="preserve">Brutsaert, </w:t>
      </w:r>
      <w:r>
        <w:rPr>
          <w:rFonts w:ascii="Arial" w:hAnsi="Arial"/>
        </w:rPr>
        <w:t xml:space="preserve">W. </w:t>
      </w:r>
      <w:r w:rsidRPr="00C94CEA">
        <w:rPr>
          <w:rFonts w:ascii="Arial" w:hAnsi="Arial"/>
        </w:rPr>
        <w:t>Hydrology</w:t>
      </w:r>
      <w:r>
        <w:rPr>
          <w:rFonts w:ascii="Arial" w:hAnsi="Arial"/>
        </w:rPr>
        <w:t>: An introduction, Cambridge, 2005.</w:t>
      </w:r>
    </w:p>
    <w:p w:rsidR="00060ABB" w:rsidRPr="00414FD8" w:rsidRDefault="00060ABB" w:rsidP="00414FD8">
      <w:pPr>
        <w:jc w:val="both"/>
        <w:rPr>
          <w:rFonts w:ascii="Arial" w:hAnsi="Arial"/>
          <w:b/>
        </w:rPr>
      </w:pPr>
    </w:p>
    <w:p w:rsidR="00060ABB" w:rsidRPr="00414FD8" w:rsidRDefault="00060ABB" w:rsidP="00414FD8">
      <w:pPr>
        <w:jc w:val="both"/>
        <w:rPr>
          <w:rFonts w:ascii="Arial" w:hAnsi="Arial"/>
        </w:rPr>
      </w:pPr>
      <w:r w:rsidRPr="00414FD8">
        <w:rPr>
          <w:rFonts w:ascii="Arial" w:hAnsi="Arial"/>
        </w:rPr>
        <w:t xml:space="preserve">Dalrymple, T., Flood-Frequency Analyses, </w:t>
      </w:r>
      <w:r w:rsidRPr="00414FD8">
        <w:rPr>
          <w:rFonts w:ascii="Arial" w:hAnsi="Arial"/>
          <w:i/>
        </w:rPr>
        <w:t>USGS Water Supply Paper</w:t>
      </w:r>
      <w:r w:rsidRPr="00414FD8">
        <w:rPr>
          <w:rFonts w:ascii="Arial" w:hAnsi="Arial"/>
        </w:rPr>
        <w:t xml:space="preserve"> 1543-A, 1960.</w:t>
      </w:r>
    </w:p>
    <w:p w:rsidR="00060ABB" w:rsidRPr="00414FD8" w:rsidRDefault="00060ABB" w:rsidP="00414FD8">
      <w:pPr>
        <w:rPr>
          <w:rFonts w:ascii="Arial" w:hAnsi="Arial"/>
        </w:rPr>
      </w:pPr>
    </w:p>
    <w:p w:rsidR="00060ABB" w:rsidRPr="00414FD8" w:rsidRDefault="00060ABB" w:rsidP="00414FD8">
      <w:pPr>
        <w:ind w:left="720" w:hanging="720"/>
        <w:rPr>
          <w:rFonts w:ascii="Arial" w:hAnsi="Arial"/>
        </w:rPr>
      </w:pPr>
      <w:r w:rsidRPr="00414FD8">
        <w:rPr>
          <w:rFonts w:ascii="Arial" w:hAnsi="Arial"/>
        </w:rPr>
        <w:t xml:space="preserve">Eagleson, P. S., Dynamics of Flood Frequency, </w:t>
      </w:r>
      <w:r w:rsidRPr="00414FD8">
        <w:rPr>
          <w:rFonts w:ascii="Arial" w:hAnsi="Arial"/>
          <w:i/>
        </w:rPr>
        <w:t>Water Res. Res</w:t>
      </w:r>
      <w:r w:rsidRPr="00414FD8">
        <w:rPr>
          <w:rFonts w:ascii="Arial" w:hAnsi="Arial"/>
        </w:rPr>
        <w:t>. 8(4): 878-898, 1972.</w:t>
      </w:r>
    </w:p>
    <w:p w:rsidR="00060ABB" w:rsidRPr="00414FD8" w:rsidRDefault="00060ABB" w:rsidP="00414FD8">
      <w:pPr>
        <w:ind w:left="720" w:hanging="720"/>
        <w:rPr>
          <w:rFonts w:ascii="Arial" w:hAnsi="Arial"/>
        </w:rPr>
      </w:pPr>
    </w:p>
    <w:p w:rsidR="00060ABB" w:rsidRPr="00414FD8" w:rsidRDefault="00060ABB" w:rsidP="00414FD8">
      <w:pPr>
        <w:ind w:left="720" w:hanging="720"/>
        <w:rPr>
          <w:rFonts w:ascii="Arial" w:hAnsi="Arial"/>
        </w:rPr>
      </w:pPr>
      <w:r w:rsidRPr="00414FD8">
        <w:rPr>
          <w:rFonts w:ascii="Arial" w:hAnsi="Arial"/>
        </w:rPr>
        <w:t xml:space="preserve">Hydrologic Engineering Center. </w:t>
      </w:r>
      <w:r w:rsidRPr="00414FD8">
        <w:rPr>
          <w:rFonts w:ascii="Arial" w:hAnsi="Arial"/>
          <w:i/>
        </w:rPr>
        <w:t>HEC-1 Flood Hydrograph Package User’s Manual</w:t>
      </w:r>
      <w:r w:rsidRPr="00414FD8">
        <w:rPr>
          <w:rFonts w:ascii="Arial" w:hAnsi="Arial"/>
        </w:rPr>
        <w:t>, USA, Corps of Engineers, Davis, CA, 1990.</w:t>
      </w:r>
    </w:p>
    <w:p w:rsidR="00060ABB" w:rsidRPr="00414FD8" w:rsidRDefault="00060ABB" w:rsidP="00414FD8">
      <w:pPr>
        <w:jc w:val="both"/>
        <w:rPr>
          <w:rFonts w:ascii="Arial" w:hAnsi="Arial"/>
          <w:b/>
        </w:rPr>
      </w:pPr>
    </w:p>
    <w:p w:rsidR="00060ABB" w:rsidRPr="00414FD8" w:rsidRDefault="00060ABB" w:rsidP="00414FD8">
      <w:pPr>
        <w:ind w:left="720" w:hanging="720"/>
        <w:jc w:val="both"/>
        <w:rPr>
          <w:rFonts w:ascii="Arial" w:hAnsi="Arial"/>
        </w:rPr>
      </w:pPr>
      <w:r w:rsidRPr="00414FD8">
        <w:rPr>
          <w:rFonts w:ascii="Arial" w:hAnsi="Arial"/>
        </w:rPr>
        <w:t xml:space="preserve">Kinnison, H. B., and B. R. Colby, Flood Formulas Based on Drainage-Basin Characteristics, </w:t>
      </w:r>
      <w:r w:rsidRPr="00414FD8">
        <w:rPr>
          <w:rFonts w:ascii="Arial" w:hAnsi="Arial"/>
          <w:i/>
        </w:rPr>
        <w:t xml:space="preserve">ASCE Trans. </w:t>
      </w:r>
      <w:r w:rsidRPr="00414FD8">
        <w:rPr>
          <w:rFonts w:ascii="Arial" w:hAnsi="Arial"/>
        </w:rPr>
        <w:t>110: 849-904, 1945.</w:t>
      </w:r>
    </w:p>
    <w:p w:rsidR="00060ABB" w:rsidRPr="00414FD8" w:rsidRDefault="00060ABB" w:rsidP="00414FD8">
      <w:pPr>
        <w:ind w:left="720" w:hanging="720"/>
        <w:jc w:val="both"/>
        <w:rPr>
          <w:rFonts w:ascii="Arial" w:hAnsi="Arial"/>
        </w:rPr>
      </w:pPr>
    </w:p>
    <w:p w:rsidR="00060ABB" w:rsidRPr="00414FD8" w:rsidRDefault="00060ABB" w:rsidP="00414FD8">
      <w:pPr>
        <w:ind w:left="720" w:hanging="720"/>
        <w:jc w:val="both"/>
        <w:rPr>
          <w:rFonts w:ascii="Arial" w:hAnsi="Arial"/>
        </w:rPr>
      </w:pPr>
      <w:r w:rsidRPr="00414FD8">
        <w:rPr>
          <w:rFonts w:ascii="Arial" w:hAnsi="Arial"/>
        </w:rPr>
        <w:t xml:space="preserve">Langbein, W. B. and others, Topographic Characteristics of Drainage Basins, </w:t>
      </w:r>
      <w:r w:rsidRPr="00414FD8">
        <w:rPr>
          <w:rFonts w:ascii="Arial" w:hAnsi="Arial"/>
          <w:i/>
        </w:rPr>
        <w:t xml:space="preserve">USGS Water Supply Paper </w:t>
      </w:r>
      <w:r w:rsidRPr="00414FD8">
        <w:rPr>
          <w:rFonts w:ascii="Arial" w:hAnsi="Arial"/>
        </w:rPr>
        <w:t>968-C, 1947.</w:t>
      </w:r>
    </w:p>
    <w:p w:rsidR="00060ABB" w:rsidRPr="00414FD8" w:rsidRDefault="00060ABB" w:rsidP="00414FD8">
      <w:pPr>
        <w:ind w:left="720" w:hanging="720"/>
        <w:jc w:val="both"/>
        <w:rPr>
          <w:rFonts w:ascii="Arial" w:hAnsi="Arial"/>
        </w:rPr>
      </w:pPr>
    </w:p>
    <w:p w:rsidR="00060ABB" w:rsidRPr="00414FD8" w:rsidRDefault="00060ABB" w:rsidP="00414FD8">
      <w:pPr>
        <w:ind w:left="720" w:hanging="720"/>
        <w:jc w:val="both"/>
        <w:rPr>
          <w:rFonts w:ascii="Arial" w:hAnsi="Arial"/>
        </w:rPr>
      </w:pPr>
      <w:r w:rsidRPr="00414FD8">
        <w:rPr>
          <w:rFonts w:ascii="Arial" w:hAnsi="Arial"/>
        </w:rPr>
        <w:t xml:space="preserve">Langbein, W. B., Annual Floods and the Partial-Duration Flood Series, </w:t>
      </w:r>
      <w:r w:rsidRPr="00414FD8">
        <w:rPr>
          <w:rFonts w:ascii="Arial" w:hAnsi="Arial"/>
          <w:i/>
        </w:rPr>
        <w:t>AGU Trans.</w:t>
      </w:r>
      <w:r w:rsidRPr="00414FD8">
        <w:rPr>
          <w:rFonts w:ascii="Arial" w:hAnsi="Arial"/>
        </w:rPr>
        <w:t xml:space="preserve"> 30: 879-881, 1949.</w:t>
      </w:r>
    </w:p>
    <w:p w:rsidR="00060ABB" w:rsidRPr="00414FD8" w:rsidRDefault="00060ABB" w:rsidP="00414FD8">
      <w:pPr>
        <w:jc w:val="both"/>
        <w:rPr>
          <w:rFonts w:ascii="Arial" w:hAnsi="Arial"/>
          <w:b/>
        </w:rPr>
      </w:pPr>
    </w:p>
    <w:p w:rsidR="00060ABB" w:rsidRPr="00414FD8" w:rsidRDefault="00060ABB" w:rsidP="00414FD8">
      <w:pPr>
        <w:tabs>
          <w:tab w:val="left" w:pos="630"/>
        </w:tabs>
        <w:ind w:left="540" w:hanging="540"/>
        <w:jc w:val="both"/>
        <w:rPr>
          <w:rFonts w:ascii="Arial" w:hAnsi="Arial"/>
        </w:rPr>
      </w:pPr>
      <w:r w:rsidRPr="00414FD8">
        <w:rPr>
          <w:rFonts w:ascii="Arial" w:hAnsi="Arial"/>
        </w:rPr>
        <w:t xml:space="preserve">Linsley, R.K., M.A. Kohler, J.L.H. Paulhus., </w:t>
      </w:r>
      <w:r w:rsidRPr="00414FD8">
        <w:rPr>
          <w:rFonts w:ascii="Arial" w:hAnsi="Arial"/>
          <w:i/>
        </w:rPr>
        <w:t xml:space="preserve"> Hydrology for Engineers. </w:t>
      </w:r>
      <w:r w:rsidRPr="00414FD8">
        <w:rPr>
          <w:rFonts w:ascii="Arial" w:hAnsi="Arial"/>
        </w:rPr>
        <w:t>2</w:t>
      </w:r>
      <w:r w:rsidRPr="00414FD8">
        <w:rPr>
          <w:rFonts w:ascii="Arial" w:hAnsi="Arial"/>
          <w:vertAlign w:val="superscript"/>
        </w:rPr>
        <w:t>nd</w:t>
      </w:r>
      <w:r w:rsidRPr="00414FD8">
        <w:rPr>
          <w:rFonts w:ascii="Arial" w:hAnsi="Arial"/>
        </w:rPr>
        <w:t xml:space="preserve"> Edition. McGraw-Hill, 1975.</w:t>
      </w:r>
    </w:p>
    <w:p w:rsidR="00060ABB" w:rsidRPr="00414FD8" w:rsidRDefault="00060ABB" w:rsidP="00414FD8">
      <w:pPr>
        <w:pStyle w:val="BodyText"/>
        <w:ind w:left="540" w:hanging="540"/>
        <w:rPr>
          <w:rFonts w:ascii="Arial" w:eastAsia="Times" w:hAnsi="Arial"/>
        </w:rPr>
      </w:pPr>
    </w:p>
    <w:p w:rsidR="00060ABB" w:rsidRPr="00414FD8" w:rsidRDefault="00060ABB" w:rsidP="00414FD8">
      <w:pPr>
        <w:ind w:left="540" w:hanging="540"/>
        <w:jc w:val="both"/>
        <w:rPr>
          <w:rFonts w:ascii="Arial" w:hAnsi="Arial"/>
        </w:rPr>
      </w:pPr>
      <w:r w:rsidRPr="00414FD8">
        <w:rPr>
          <w:rFonts w:ascii="Arial" w:hAnsi="Arial"/>
        </w:rPr>
        <w:t xml:space="preserve">Newton, D. W., and Herrin, J. C., Assessment of Commonly Used Flood Frequency Methods, Fall Meeting, </w:t>
      </w:r>
      <w:r w:rsidRPr="00414FD8">
        <w:rPr>
          <w:rFonts w:ascii="Arial" w:hAnsi="Arial"/>
          <w:i/>
        </w:rPr>
        <w:t>Amer. Geophys. Union</w:t>
      </w:r>
      <w:r w:rsidRPr="00414FD8">
        <w:rPr>
          <w:rFonts w:ascii="Arial" w:hAnsi="Arial"/>
        </w:rPr>
        <w:t>, San Francisco, CA, December 1981.</w:t>
      </w:r>
    </w:p>
    <w:p w:rsidR="00060ABB" w:rsidRPr="00414FD8" w:rsidRDefault="00060ABB" w:rsidP="00414FD8">
      <w:pPr>
        <w:pStyle w:val="BodyText"/>
        <w:ind w:left="540" w:hanging="540"/>
        <w:rPr>
          <w:rFonts w:ascii="Arial" w:eastAsia="Times" w:hAnsi="Arial"/>
        </w:rPr>
      </w:pPr>
    </w:p>
    <w:p w:rsidR="00060ABB" w:rsidRPr="00414FD8" w:rsidRDefault="00060ABB" w:rsidP="00634986">
      <w:pPr>
        <w:pStyle w:val="BlockText"/>
        <w:ind w:right="0" w:hanging="720"/>
        <w:rPr>
          <w:rFonts w:ascii="Arial" w:hAnsi="Arial"/>
          <w:sz w:val="24"/>
        </w:rPr>
      </w:pPr>
      <w:r w:rsidRPr="00414FD8">
        <w:rPr>
          <w:rFonts w:ascii="Arial" w:hAnsi="Arial"/>
          <w:sz w:val="24"/>
        </w:rPr>
        <w:t xml:space="preserve">Soil Conservation Service, </w:t>
      </w:r>
      <w:r w:rsidRPr="00414FD8">
        <w:rPr>
          <w:rFonts w:ascii="Arial" w:hAnsi="Arial"/>
          <w:i/>
          <w:sz w:val="24"/>
        </w:rPr>
        <w:t>A method for estimating volume and rate of runoff in small watersheds,</w:t>
      </w:r>
      <w:r w:rsidRPr="00414FD8">
        <w:rPr>
          <w:rFonts w:ascii="Arial" w:hAnsi="Arial"/>
          <w:sz w:val="24"/>
        </w:rPr>
        <w:t xml:space="preserve"> Tech. Report 149, USDA-ARS, Washington D. C. 1973.</w:t>
      </w:r>
    </w:p>
    <w:p w:rsidR="00D341A2" w:rsidRPr="00414FD8" w:rsidRDefault="00D341A2" w:rsidP="00414FD8">
      <w:pPr>
        <w:rPr>
          <w:rFonts w:ascii="Arial" w:hAnsi="Arial"/>
        </w:rPr>
      </w:pPr>
    </w:p>
    <w:sectPr w:rsidR="00D341A2" w:rsidRPr="00414FD8" w:rsidSect="00060ABB">
      <w:footerReference w:type="default" r:id="rId56"/>
      <w:pgSz w:w="12240" w:h="15840"/>
      <w:pgMar w:top="1440" w:right="1170" w:bottom="1440" w:left="1800" w:gutter="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3000000" w:usb1="00000000" w:usb2="00000000" w:usb3="00000000" w:csb0="00000001" w:csb1="00000000"/>
  </w:font>
  <w:font w:name="Cambria">
    <w:panose1 w:val="02040503050406030204"/>
    <w:charset w:val="00"/>
    <w:family w:val="auto"/>
    <w:pitch w:val="variable"/>
    <w:sig w:usb0="03000000" w:usb1="00000000" w:usb2="00000000" w:usb3="00000000" w:csb0="00000001" w:csb1="00000000"/>
  </w:font>
  <w:font w:name="Times">
    <w:panose1 w:val="02000500000000000000"/>
    <w:charset w:val="00"/>
    <w:family w:val="auto"/>
    <w:pitch w:val="variable"/>
    <w:sig w:usb0="03000000" w:usb1="00000000" w:usb2="00000000" w:usb3="00000000" w:csb0="00000001" w:csb1="00000000"/>
  </w:font>
  <w:font w:name="Arial">
    <w:panose1 w:val="020B0604020202020204"/>
    <w:charset w:val="00"/>
    <w:family w:val="auto"/>
    <w:pitch w:val="variable"/>
    <w:sig w:usb0="03000000" w:usb1="00000000" w:usb2="00000000" w:usb3="00000000" w:csb0="00000001" w:csb1="00000000"/>
  </w:font>
  <w:font w:name="Helvetica">
    <w:panose1 w:val="02000500000000000000"/>
    <w:charset w:val="00"/>
    <w:family w:val="auto"/>
    <w:pitch w:val="variable"/>
    <w:sig w:usb0="03000000" w:usb1="00000000" w:usb2="00000000" w:usb3="00000000" w:csb0="00000001" w:csb1="00000000"/>
  </w:font>
  <w:font w:name="Calibri">
    <w:panose1 w:val="020F0502020204030204"/>
    <w:charset w:val="00"/>
    <w:family w:val="auto"/>
    <w:pitch w:val="variable"/>
    <w:sig w:usb0="03000000"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341A2" w:rsidRDefault="00D341A2">
    <w:pPr>
      <w:pStyle w:val="Footer"/>
    </w:pPr>
    <w:r>
      <w:rPr>
        <w:rStyle w:val="PageNumber"/>
      </w:rPr>
      <w:tab/>
    </w:r>
    <w:r w:rsidR="00917F1B">
      <w:rPr>
        <w:rStyle w:val="PageNumber"/>
      </w:rPr>
      <w:fldChar w:fldCharType="begin"/>
    </w:r>
    <w:r>
      <w:rPr>
        <w:rStyle w:val="PageNumber"/>
      </w:rPr>
      <w:instrText xml:space="preserve"> PAGE </w:instrText>
    </w:r>
    <w:r w:rsidR="00917F1B">
      <w:rPr>
        <w:rStyle w:val="PageNumber"/>
      </w:rPr>
      <w:fldChar w:fldCharType="separate"/>
    </w:r>
    <w:r w:rsidR="008F16F4">
      <w:rPr>
        <w:rStyle w:val="PageNumber"/>
        <w:noProof/>
      </w:rPr>
      <w:t>5</w:t>
    </w:r>
    <w:r w:rsidR="00917F1B">
      <w:rPr>
        <w:rStyle w:val="PageNumber"/>
      </w:rPr>
      <w:fldChar w:fldCharType="end"/>
    </w:r>
  </w:p>
</w:ft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1D718A"/>
    <w:multiLevelType w:val="hybridMultilevel"/>
    <w:tmpl w:val="099CF0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EB0C48"/>
    <w:multiLevelType w:val="hybridMultilevel"/>
    <w:tmpl w:val="B11E63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1F22C26"/>
    <w:multiLevelType w:val="hybridMultilevel"/>
    <w:tmpl w:val="BA0CCC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43911DB"/>
    <w:multiLevelType w:val="hybridMultilevel"/>
    <w:tmpl w:val="79702E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AD1042C"/>
    <w:multiLevelType w:val="hybridMultilevel"/>
    <w:tmpl w:val="8C0289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C5654F2"/>
    <w:multiLevelType w:val="hybridMultilevel"/>
    <w:tmpl w:val="DB6421FE"/>
    <w:lvl w:ilvl="0" w:tplc="CBC27C60">
      <w:start w:val="1"/>
      <w:numFmt w:val="decimal"/>
      <w:lvlText w:val="%1."/>
      <w:lvlJc w:val="left"/>
      <w:pPr>
        <w:ind w:left="600" w:hanging="520"/>
      </w:pPr>
      <w:rPr>
        <w:rFonts w:hint="default"/>
      </w:rPr>
    </w:lvl>
    <w:lvl w:ilvl="1" w:tplc="04090019" w:tentative="1">
      <w:start w:val="1"/>
      <w:numFmt w:val="lowerLetter"/>
      <w:lvlText w:val="%2."/>
      <w:lvlJc w:val="left"/>
      <w:pPr>
        <w:ind w:left="1160" w:hanging="360"/>
      </w:pPr>
    </w:lvl>
    <w:lvl w:ilvl="2" w:tplc="0409001B" w:tentative="1">
      <w:start w:val="1"/>
      <w:numFmt w:val="lowerRoman"/>
      <w:lvlText w:val="%3."/>
      <w:lvlJc w:val="right"/>
      <w:pPr>
        <w:ind w:left="1880" w:hanging="180"/>
      </w:pPr>
    </w:lvl>
    <w:lvl w:ilvl="3" w:tplc="0409000F" w:tentative="1">
      <w:start w:val="1"/>
      <w:numFmt w:val="decimal"/>
      <w:lvlText w:val="%4."/>
      <w:lvlJc w:val="left"/>
      <w:pPr>
        <w:ind w:left="2600" w:hanging="360"/>
      </w:pPr>
    </w:lvl>
    <w:lvl w:ilvl="4" w:tplc="04090019" w:tentative="1">
      <w:start w:val="1"/>
      <w:numFmt w:val="lowerLetter"/>
      <w:lvlText w:val="%5."/>
      <w:lvlJc w:val="left"/>
      <w:pPr>
        <w:ind w:left="3320" w:hanging="360"/>
      </w:pPr>
    </w:lvl>
    <w:lvl w:ilvl="5" w:tplc="0409001B" w:tentative="1">
      <w:start w:val="1"/>
      <w:numFmt w:val="lowerRoman"/>
      <w:lvlText w:val="%6."/>
      <w:lvlJc w:val="right"/>
      <w:pPr>
        <w:ind w:left="4040" w:hanging="180"/>
      </w:pPr>
    </w:lvl>
    <w:lvl w:ilvl="6" w:tplc="0409000F" w:tentative="1">
      <w:start w:val="1"/>
      <w:numFmt w:val="decimal"/>
      <w:lvlText w:val="%7."/>
      <w:lvlJc w:val="left"/>
      <w:pPr>
        <w:ind w:left="4760" w:hanging="360"/>
      </w:pPr>
    </w:lvl>
    <w:lvl w:ilvl="7" w:tplc="04090019" w:tentative="1">
      <w:start w:val="1"/>
      <w:numFmt w:val="lowerLetter"/>
      <w:lvlText w:val="%8."/>
      <w:lvlJc w:val="left"/>
      <w:pPr>
        <w:ind w:left="5480" w:hanging="360"/>
      </w:pPr>
    </w:lvl>
    <w:lvl w:ilvl="8" w:tplc="0409001B" w:tentative="1">
      <w:start w:val="1"/>
      <w:numFmt w:val="lowerRoman"/>
      <w:lvlText w:val="%9."/>
      <w:lvlJc w:val="right"/>
      <w:pPr>
        <w:ind w:left="6200" w:hanging="180"/>
      </w:pPr>
    </w:lvl>
  </w:abstractNum>
  <w:abstractNum w:abstractNumId="6">
    <w:nsid w:val="2D247C63"/>
    <w:multiLevelType w:val="hybridMultilevel"/>
    <w:tmpl w:val="5F8840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5963F82"/>
    <w:multiLevelType w:val="hybridMultilevel"/>
    <w:tmpl w:val="5F547C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A0D684C"/>
    <w:multiLevelType w:val="hybridMultilevel"/>
    <w:tmpl w:val="74C2A6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4"/>
  </w:num>
  <w:num w:numId="4">
    <w:abstractNumId w:val="8"/>
  </w:num>
  <w:num w:numId="5">
    <w:abstractNumId w:val="1"/>
  </w:num>
  <w:num w:numId="6">
    <w:abstractNumId w:val="2"/>
  </w:num>
  <w:num w:numId="7">
    <w:abstractNumId w:val="6"/>
  </w:num>
  <w:num w:numId="8">
    <w:abstractNumId w:val="0"/>
  </w:num>
  <w:num w:numId="9">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doNotTrackMov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doNotAutofitConstrainedTables/>
    <w:splitPgBreakAndParaMark/>
    <w:doNotVertAlignCellWithSp/>
    <w:doNotBreakConstrainedForcedTable/>
    <w:useAnsiKerningPairs/>
    <w:cachedColBalance/>
  </w:compat>
  <w:rsids>
    <w:rsidRoot w:val="00060ABB"/>
    <w:rsid w:val="00020508"/>
    <w:rsid w:val="00022E06"/>
    <w:rsid w:val="00060ABB"/>
    <w:rsid w:val="000A43AF"/>
    <w:rsid w:val="000F2E99"/>
    <w:rsid w:val="000F73B1"/>
    <w:rsid w:val="00156CE8"/>
    <w:rsid w:val="00174EB1"/>
    <w:rsid w:val="00175F16"/>
    <w:rsid w:val="00193542"/>
    <w:rsid w:val="00196DF7"/>
    <w:rsid w:val="001A3EF9"/>
    <w:rsid w:val="001B730B"/>
    <w:rsid w:val="001C20D9"/>
    <w:rsid w:val="0021291D"/>
    <w:rsid w:val="00244F6C"/>
    <w:rsid w:val="00271754"/>
    <w:rsid w:val="002E5BA9"/>
    <w:rsid w:val="00375D51"/>
    <w:rsid w:val="00382E8C"/>
    <w:rsid w:val="003A1AB6"/>
    <w:rsid w:val="00414FD8"/>
    <w:rsid w:val="00443387"/>
    <w:rsid w:val="00481EDB"/>
    <w:rsid w:val="00493D51"/>
    <w:rsid w:val="00506D7B"/>
    <w:rsid w:val="005456C7"/>
    <w:rsid w:val="00584C2F"/>
    <w:rsid w:val="005A02BC"/>
    <w:rsid w:val="005F0C42"/>
    <w:rsid w:val="005F2001"/>
    <w:rsid w:val="00611A29"/>
    <w:rsid w:val="00634986"/>
    <w:rsid w:val="0065689D"/>
    <w:rsid w:val="00687DD4"/>
    <w:rsid w:val="006C77B6"/>
    <w:rsid w:val="007043AD"/>
    <w:rsid w:val="007712B0"/>
    <w:rsid w:val="00787B83"/>
    <w:rsid w:val="007E3E2E"/>
    <w:rsid w:val="00837E97"/>
    <w:rsid w:val="008A2F53"/>
    <w:rsid w:val="008F16F4"/>
    <w:rsid w:val="00911684"/>
    <w:rsid w:val="00917F1B"/>
    <w:rsid w:val="00950D9A"/>
    <w:rsid w:val="00980D1C"/>
    <w:rsid w:val="00A1488C"/>
    <w:rsid w:val="00A72D7F"/>
    <w:rsid w:val="00AA7B92"/>
    <w:rsid w:val="00AD52A9"/>
    <w:rsid w:val="00BB4B27"/>
    <w:rsid w:val="00C66622"/>
    <w:rsid w:val="00CC0FA1"/>
    <w:rsid w:val="00D341A2"/>
    <w:rsid w:val="00DA54F3"/>
    <w:rsid w:val="00DB2A5F"/>
    <w:rsid w:val="00DC7FA6"/>
    <w:rsid w:val="00DF28CC"/>
    <w:rsid w:val="00E04BA8"/>
    <w:rsid w:val="00E32EB0"/>
    <w:rsid w:val="00EF6434"/>
    <w:rsid w:val="00F1319B"/>
    <w:rsid w:val="00F209CE"/>
    <w:rsid w:val="00F24A98"/>
    <w:rsid w:val="00F31F83"/>
    <w:rsid w:val="00F350DA"/>
    <w:rsid w:val="00F63336"/>
    <w:rsid w:val="00F661BA"/>
    <w:rsid w:val="00FA1BE6"/>
    <w:rsid w:val="00FA73EC"/>
    <w:rsid w:val="00FC359E"/>
    <w:rsid w:val="00FC4ECF"/>
  </w:rsids>
  <m:mathPr>
    <m:mathFont m:val="Lucida Grande"/>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5"/>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Indent 3" w:uiPriority="0"/>
    <w:lsdException w:name="Block Tex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 + Font: Times 12 point,Flush left,Font = Times,Font: Times 12 point"/>
    <w:qFormat/>
    <w:rsid w:val="00060ABB"/>
    <w:rPr>
      <w:rFonts w:ascii="Times" w:eastAsia="Times" w:hAnsi="Times" w:cs="Times New Roman"/>
      <w:sz w:val="24"/>
    </w:rPr>
  </w:style>
  <w:style w:type="paragraph" w:styleId="Heading1">
    <w:name w:val="heading 1"/>
    <w:basedOn w:val="Normal"/>
    <w:next w:val="Normal"/>
    <w:link w:val="Heading1Char"/>
    <w:qFormat/>
    <w:rsid w:val="00060ABB"/>
    <w:pPr>
      <w:keepNext/>
      <w:tabs>
        <w:tab w:val="left" w:pos="720"/>
      </w:tabs>
      <w:jc w:val="center"/>
      <w:outlineLvl w:val="0"/>
    </w:pPr>
    <w:rPr>
      <w:rFonts w:eastAsia="Times New Roman"/>
      <w:b/>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rsid w:val="00060ABB"/>
    <w:rPr>
      <w:rFonts w:ascii="Times" w:eastAsia="Times New Roman" w:hAnsi="Times" w:cs="Times New Roman"/>
      <w:b/>
      <w:sz w:val="24"/>
    </w:rPr>
  </w:style>
  <w:style w:type="paragraph" w:styleId="Footer">
    <w:name w:val="footer"/>
    <w:basedOn w:val="Normal"/>
    <w:link w:val="FooterChar"/>
    <w:rsid w:val="00060ABB"/>
    <w:pPr>
      <w:tabs>
        <w:tab w:val="center" w:pos="4320"/>
        <w:tab w:val="right" w:pos="8640"/>
      </w:tabs>
    </w:pPr>
    <w:rPr>
      <w:rFonts w:eastAsia="Times New Roman"/>
    </w:rPr>
  </w:style>
  <w:style w:type="character" w:customStyle="1" w:styleId="FooterChar">
    <w:name w:val="Footer Char"/>
    <w:basedOn w:val="DefaultParagraphFont"/>
    <w:link w:val="Footer"/>
    <w:rsid w:val="00060ABB"/>
    <w:rPr>
      <w:rFonts w:ascii="Times" w:eastAsia="Times New Roman" w:hAnsi="Times" w:cs="Times New Roman"/>
      <w:sz w:val="24"/>
    </w:rPr>
  </w:style>
  <w:style w:type="character" w:styleId="PageNumber">
    <w:name w:val="page number"/>
    <w:basedOn w:val="DefaultParagraphFont"/>
    <w:rsid w:val="00060ABB"/>
  </w:style>
  <w:style w:type="paragraph" w:styleId="BodyText">
    <w:name w:val="Body Text"/>
    <w:basedOn w:val="Normal"/>
    <w:link w:val="BodyTextChar"/>
    <w:rsid w:val="00060ABB"/>
    <w:pPr>
      <w:jc w:val="both"/>
    </w:pPr>
    <w:rPr>
      <w:rFonts w:eastAsia="Times New Roman"/>
    </w:rPr>
  </w:style>
  <w:style w:type="character" w:customStyle="1" w:styleId="BodyTextChar">
    <w:name w:val="Body Text Char"/>
    <w:basedOn w:val="DefaultParagraphFont"/>
    <w:link w:val="BodyText"/>
    <w:rsid w:val="00060ABB"/>
    <w:rPr>
      <w:rFonts w:ascii="Times" w:eastAsia="Times New Roman" w:hAnsi="Times" w:cs="Times New Roman"/>
      <w:sz w:val="24"/>
    </w:rPr>
  </w:style>
  <w:style w:type="paragraph" w:customStyle="1" w:styleId="body">
    <w:name w:val="body"/>
    <w:rsid w:val="00060ABB"/>
    <w:pPr>
      <w:widowControl w:val="0"/>
      <w:tabs>
        <w:tab w:val="left" w:pos="-1440"/>
        <w:tab w:val="left" w:pos="0"/>
        <w:tab w:val="left" w:pos="397"/>
        <w:tab w:val="left" w:pos="1440"/>
        <w:tab w:val="right" w:pos="8392"/>
      </w:tabs>
      <w:suppressAutoHyphens/>
      <w:jc w:val="both"/>
    </w:pPr>
    <w:rPr>
      <w:rFonts w:ascii="Times New Roman" w:eastAsia="Times New Roman" w:hAnsi="Times New Roman" w:cs="Times New Roman"/>
      <w:sz w:val="24"/>
      <w:lang w:val="en-GB"/>
    </w:rPr>
  </w:style>
  <w:style w:type="paragraph" w:styleId="BlockText">
    <w:name w:val="Block Text"/>
    <w:basedOn w:val="Normal"/>
    <w:rsid w:val="00060ABB"/>
    <w:pPr>
      <w:ind w:left="720" w:right="-720" w:firstLine="360"/>
      <w:jc w:val="both"/>
    </w:pPr>
    <w:rPr>
      <w:sz w:val="22"/>
    </w:rPr>
  </w:style>
  <w:style w:type="paragraph" w:styleId="BodyTextIndent3">
    <w:name w:val="Body Text Indent 3"/>
    <w:basedOn w:val="Normal"/>
    <w:link w:val="BodyTextIndent3Char"/>
    <w:rsid w:val="00060ABB"/>
    <w:pPr>
      <w:ind w:firstLine="720"/>
      <w:jc w:val="both"/>
    </w:pPr>
    <w:rPr>
      <w:rFonts w:eastAsia="Times New Roman"/>
    </w:rPr>
  </w:style>
  <w:style w:type="character" w:customStyle="1" w:styleId="BodyTextIndent3Char">
    <w:name w:val="Body Text Indent 3 Char"/>
    <w:basedOn w:val="DefaultParagraphFont"/>
    <w:link w:val="BodyTextIndent3"/>
    <w:rsid w:val="00060ABB"/>
    <w:rPr>
      <w:rFonts w:ascii="Times" w:eastAsia="Times New Roman" w:hAnsi="Times" w:cs="Times New Roman"/>
      <w:sz w:val="24"/>
    </w:rPr>
  </w:style>
  <w:style w:type="paragraph" w:styleId="ListParagraph">
    <w:name w:val="List Paragraph"/>
    <w:basedOn w:val="Normal"/>
    <w:uiPriority w:val="34"/>
    <w:qFormat/>
    <w:rsid w:val="00414FD8"/>
    <w:pPr>
      <w:ind w:left="720"/>
      <w:contextualSpacing/>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ict"/><Relationship Id="rId7" Type="http://schemas.openxmlformats.org/officeDocument/2006/relationships/oleObject" Target="embeddings/oleObject1.bin"/><Relationship Id="rId8" Type="http://schemas.openxmlformats.org/officeDocument/2006/relationships/image" Target="media/image3.png"/><Relationship Id="rId9" Type="http://schemas.openxmlformats.org/officeDocument/2006/relationships/image" Target="media/image4.pict"/><Relationship Id="rId50" Type="http://schemas.openxmlformats.org/officeDocument/2006/relationships/image" Target="media/image31.png"/><Relationship Id="rId51" Type="http://schemas.openxmlformats.org/officeDocument/2006/relationships/image" Target="media/image32.pict"/><Relationship Id="rId52" Type="http://schemas.openxmlformats.org/officeDocument/2006/relationships/oleObject" Target="embeddings/oleObject9.bin"/><Relationship Id="rId53" Type="http://schemas.openxmlformats.org/officeDocument/2006/relationships/image" Target="media/image33.png"/><Relationship Id="rId54" Type="http://schemas.openxmlformats.org/officeDocument/2006/relationships/image" Target="media/image34.pict"/><Relationship Id="rId55" Type="http://schemas.openxmlformats.org/officeDocument/2006/relationships/oleObject" Target="embeddings/oleObject10.bin"/><Relationship Id="rId56" Type="http://schemas.openxmlformats.org/officeDocument/2006/relationships/footer" Target="footer1.xml"/><Relationship Id="rId57" Type="http://schemas.openxmlformats.org/officeDocument/2006/relationships/fontTable" Target="fontTable.xml"/><Relationship Id="rId58" Type="http://schemas.openxmlformats.org/officeDocument/2006/relationships/theme" Target="theme/theme1.xml"/><Relationship Id="rId40" Type="http://schemas.openxmlformats.org/officeDocument/2006/relationships/oleObject" Target="embeddings/oleObject6.bin"/><Relationship Id="rId41" Type="http://schemas.openxmlformats.org/officeDocument/2006/relationships/image" Target="media/image25.png"/><Relationship Id="rId42" Type="http://schemas.openxmlformats.org/officeDocument/2006/relationships/image" Target="media/image26.pict"/><Relationship Id="rId43" Type="http://schemas.openxmlformats.org/officeDocument/2006/relationships/oleObject" Target="embeddings/oleObject7.bin"/><Relationship Id="rId44" Type="http://schemas.openxmlformats.org/officeDocument/2006/relationships/image" Target="media/image27.png"/><Relationship Id="rId45" Type="http://schemas.openxmlformats.org/officeDocument/2006/relationships/image" Target="media/image28.pict"/><Relationship Id="rId46" Type="http://schemas.openxmlformats.org/officeDocument/2006/relationships/oleObject" Target="embeddings/Microsoft_Equation7.bin"/><Relationship Id="rId47" Type="http://schemas.openxmlformats.org/officeDocument/2006/relationships/image" Target="media/image29.png"/><Relationship Id="rId48" Type="http://schemas.openxmlformats.org/officeDocument/2006/relationships/image" Target="media/image30.pict"/><Relationship Id="rId49" Type="http://schemas.openxmlformats.org/officeDocument/2006/relationships/oleObject" Target="embeddings/oleObject8.bin"/><Relationship Id="rId30" Type="http://schemas.openxmlformats.org/officeDocument/2006/relationships/image" Target="media/image18.pict"/><Relationship Id="rId31" Type="http://schemas.openxmlformats.org/officeDocument/2006/relationships/oleObject" Target="embeddings/Microsoft_Equation4.bin"/><Relationship Id="rId32" Type="http://schemas.openxmlformats.org/officeDocument/2006/relationships/image" Target="media/image19.png"/><Relationship Id="rId33" Type="http://schemas.openxmlformats.org/officeDocument/2006/relationships/image" Target="media/image20.pict"/><Relationship Id="rId34" Type="http://schemas.openxmlformats.org/officeDocument/2006/relationships/oleObject" Target="embeddings/Microsoft_Equation5.bin"/><Relationship Id="rId35" Type="http://schemas.openxmlformats.org/officeDocument/2006/relationships/image" Target="media/image21.png"/><Relationship Id="rId36" Type="http://schemas.openxmlformats.org/officeDocument/2006/relationships/image" Target="media/image22.pict"/><Relationship Id="rId37" Type="http://schemas.openxmlformats.org/officeDocument/2006/relationships/oleObject" Target="embeddings/Microsoft_Equation6.bin"/><Relationship Id="rId38" Type="http://schemas.openxmlformats.org/officeDocument/2006/relationships/image" Target="media/image23.png"/><Relationship Id="rId39" Type="http://schemas.openxmlformats.org/officeDocument/2006/relationships/image" Target="media/image24.pict"/><Relationship Id="rId20" Type="http://schemas.openxmlformats.org/officeDocument/2006/relationships/image" Target="media/image11.png"/><Relationship Id="rId21" Type="http://schemas.openxmlformats.org/officeDocument/2006/relationships/image" Target="media/image12.pict"/><Relationship Id="rId22" Type="http://schemas.openxmlformats.org/officeDocument/2006/relationships/oleObject" Target="embeddings/Microsoft_Equation2.bin"/><Relationship Id="rId23" Type="http://schemas.openxmlformats.org/officeDocument/2006/relationships/image" Target="media/image13.png"/><Relationship Id="rId24" Type="http://schemas.openxmlformats.org/officeDocument/2006/relationships/image" Target="media/image14.pict"/><Relationship Id="rId25" Type="http://schemas.openxmlformats.org/officeDocument/2006/relationships/oleObject" Target="embeddings/Microsoft_Equation3.bin"/><Relationship Id="rId26" Type="http://schemas.openxmlformats.org/officeDocument/2006/relationships/image" Target="media/image15.png"/><Relationship Id="rId27" Type="http://schemas.openxmlformats.org/officeDocument/2006/relationships/image" Target="media/image16.pict"/><Relationship Id="rId28" Type="http://schemas.openxmlformats.org/officeDocument/2006/relationships/oleObject" Target="embeddings/oleObject5.bin"/><Relationship Id="rId29" Type="http://schemas.openxmlformats.org/officeDocument/2006/relationships/image" Target="media/image17.png"/><Relationship Id="rId10" Type="http://schemas.openxmlformats.org/officeDocument/2006/relationships/oleObject" Target="embeddings/oleObject2.bin"/><Relationship Id="rId11" Type="http://schemas.openxmlformats.org/officeDocument/2006/relationships/image" Target="media/image5.png"/><Relationship Id="rId12" Type="http://schemas.openxmlformats.org/officeDocument/2006/relationships/image" Target="media/image6.pict"/><Relationship Id="rId13" Type="http://schemas.openxmlformats.org/officeDocument/2006/relationships/oleObject" Target="embeddings/oleObject3.bin"/><Relationship Id="rId14" Type="http://schemas.openxmlformats.org/officeDocument/2006/relationships/image" Target="media/image7.png"/><Relationship Id="rId15" Type="http://schemas.openxmlformats.org/officeDocument/2006/relationships/image" Target="media/image8.pict"/><Relationship Id="rId16" Type="http://schemas.openxmlformats.org/officeDocument/2006/relationships/oleObject" Target="embeddings/Microsoft_Equation1.bin"/><Relationship Id="rId17" Type="http://schemas.openxmlformats.org/officeDocument/2006/relationships/image" Target="media/image9.png"/><Relationship Id="rId18" Type="http://schemas.openxmlformats.org/officeDocument/2006/relationships/image" Target="media/image10.pict"/><Relationship Id="rId19" Type="http://schemas.openxmlformats.org/officeDocument/2006/relationships/oleObject" Target="embeddings/oleObject4.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150</TotalTime>
  <Pages>5</Pages>
  <Words>1866</Words>
  <Characters>10640</Characters>
  <Application>Microsoft Macintosh Word</Application>
  <DocSecurity>0</DocSecurity>
  <Lines>88</Lines>
  <Paragraphs>21</Paragraphs>
  <ScaleCrop>false</ScaleCrop>
  <Company>University of Colorado</Company>
  <LinksUpToDate>false</LinksUpToDate>
  <CharactersWithSpaces>13066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 Gupta</dc:creator>
  <cp:keywords/>
  <cp:lastModifiedBy>Vijay Gupta</cp:lastModifiedBy>
  <cp:revision>60</cp:revision>
  <dcterms:created xsi:type="dcterms:W3CDTF">2009-03-31T14:44:00Z</dcterms:created>
  <dcterms:modified xsi:type="dcterms:W3CDTF">2010-09-01T03:39:00Z</dcterms:modified>
</cp:coreProperties>
</file>