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E08FB" w14:textId="77777777" w:rsidR="001D3A01" w:rsidRDefault="001D3A01" w:rsidP="001D3A01">
      <w:pPr>
        <w:spacing w:after="0" w:line="240" w:lineRule="auto"/>
        <w:rPr>
          <w:rFonts w:ascii="Calibri" w:eastAsia="Times New Roman" w:hAnsi="Calibri" w:cs="Arial"/>
          <w:b/>
          <w:bCs/>
          <w:color w:val="000000"/>
          <w:sz w:val="28"/>
          <w:szCs w:val="28"/>
          <w:lang w:val="en-US" w:eastAsia="de-AT"/>
        </w:rPr>
      </w:pPr>
    </w:p>
    <w:p w14:paraId="0BDB40C1" w14:textId="77777777" w:rsidR="001D3A01" w:rsidRPr="001D3A01" w:rsidRDefault="001D3A01" w:rsidP="001D3A01">
      <w:pPr>
        <w:spacing w:after="0" w:line="240" w:lineRule="auto"/>
        <w:rPr>
          <w:rFonts w:ascii="Times New Roman" w:eastAsia="Times New Roman" w:hAnsi="Times New Roman" w:cs="Times New Roman"/>
          <w:sz w:val="28"/>
          <w:szCs w:val="28"/>
          <w:lang w:val="en-US" w:eastAsia="de-AT"/>
        </w:rPr>
      </w:pPr>
      <w:r w:rsidRPr="001D3A01">
        <w:rPr>
          <w:rFonts w:ascii="Calibri" w:eastAsia="Times New Roman" w:hAnsi="Calibri" w:cs="Arial"/>
          <w:b/>
          <w:bCs/>
          <w:color w:val="000000"/>
          <w:sz w:val="28"/>
          <w:szCs w:val="28"/>
          <w:lang w:val="en-US" w:eastAsia="de-AT"/>
        </w:rPr>
        <w:t>Austrian Science Fund (FWF) publication costs in 2013 for journal articles</w:t>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r w:rsidRPr="001D3A01">
        <w:rPr>
          <w:rFonts w:ascii="Calibri" w:eastAsia="Times New Roman" w:hAnsi="Calibri" w:cs="Arial"/>
          <w:b/>
          <w:bCs/>
          <w:color w:val="000000"/>
          <w:sz w:val="28"/>
          <w:szCs w:val="28"/>
          <w:lang w:val="en-US" w:eastAsia="de-AT"/>
        </w:rPr>
        <w:tab/>
      </w:r>
    </w:p>
    <w:p w14:paraId="754FEF19"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This dataset is licensed under a CC-0 license.</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16947AC2"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sz w:val="24"/>
          <w:szCs w:val="24"/>
          <w:lang w:val="en-US" w:eastAsia="de-AT"/>
        </w:rPr>
        <w:t>Explanation of data - Overview</w:t>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r w:rsidRPr="001D3A01">
        <w:rPr>
          <w:rFonts w:ascii="Calibri" w:eastAsia="Times New Roman" w:hAnsi="Calibri" w:cs="Arial"/>
          <w:b/>
          <w:bCs/>
          <w:color w:val="000000"/>
          <w:sz w:val="24"/>
          <w:szCs w:val="24"/>
          <w:lang w:val="en-US" w:eastAsia="de-AT"/>
        </w:rPr>
        <w:tab/>
      </w:r>
    </w:p>
    <w:p w14:paraId="593634E0"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 xml:space="preserve">The dataset includes payments for articles of authors funded by the Austrian Science Fund (FWF) via the program 'Peer Reviewed Publications', see: </w:t>
      </w:r>
      <w:hyperlink r:id="rId10" w:history="1">
        <w:r w:rsidRPr="004E661E">
          <w:rPr>
            <w:rStyle w:val="Hyperlink"/>
            <w:rFonts w:ascii="Calibri" w:eastAsia="Times New Roman" w:hAnsi="Calibri" w:cs="Arial"/>
            <w:lang w:val="en-US" w:eastAsia="de-AT"/>
          </w:rPr>
          <w:t>http://www.fwf.ac.at/en/projects/peer-reviewed_publications.html</w:t>
        </w:r>
      </w:hyperlink>
      <w:r w:rsidRPr="001D3A01">
        <w:rPr>
          <w:rFonts w:ascii="Calibri" w:eastAsia="Times New Roman" w:hAnsi="Calibri" w:cs="Arial"/>
          <w:color w:val="000000"/>
          <w:lang w:val="en-US" w:eastAsia="de-AT"/>
        </w:rPr>
        <w:t xml:space="preserve">  </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0F974B65" w14:textId="77777777" w:rsidR="001D3A01" w:rsidRDefault="001D3A01" w:rsidP="001D3A01">
      <w:pPr>
        <w:spacing w:after="0" w:line="240" w:lineRule="auto"/>
        <w:rPr>
          <w:rFonts w:ascii="Calibri" w:eastAsia="Times New Roman" w:hAnsi="Calibri" w:cs="Arial"/>
          <w:color w:val="000000"/>
          <w:lang w:val="en-US" w:eastAsia="de-AT"/>
        </w:rPr>
      </w:pPr>
    </w:p>
    <w:p w14:paraId="5275AB86" w14:textId="77777777" w:rsidR="00D2070C"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The dataset only includes information when costs were applied via the program Peer Reviewed Publications. If an author has covered the costs by the global budget of his/her research project, by other resources or the publisher provides a Gold OA service free of charge, this information is not included in this dataset.</w:t>
      </w:r>
      <w:r w:rsidRPr="001D3A01">
        <w:rPr>
          <w:rFonts w:ascii="Calibri" w:eastAsia="Times New Roman" w:hAnsi="Calibri" w:cs="Arial"/>
          <w:color w:val="000000"/>
          <w:lang w:val="en-US" w:eastAsia="de-AT"/>
        </w:rPr>
        <w:tab/>
      </w:r>
    </w:p>
    <w:p w14:paraId="7E1F41A1" w14:textId="07421ED5"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1025C556"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Payments are either reimbursed to the authors or directly paid to the publishers by the FWF.</w:t>
      </w:r>
    </w:p>
    <w:p w14:paraId="141033DC"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The data slightly differs from FWF's annual report 2013 because this dataset does not include payments for Proceedings, Open Access Books, repayments by publishers in the case of double payments or submission fees for articles which were not published.</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4CA23A90" w14:textId="77777777" w:rsidR="001D3A01" w:rsidRPr="0010643D" w:rsidRDefault="001D3A01" w:rsidP="001D3A01">
      <w:pPr>
        <w:spacing w:after="0" w:line="240" w:lineRule="auto"/>
        <w:rPr>
          <w:rFonts w:ascii="Times New Roman" w:eastAsia="Times New Roman" w:hAnsi="Times New Roman" w:cs="Times New Roman"/>
          <w:sz w:val="24"/>
          <w:szCs w:val="24"/>
          <w:lang w:val="en-US" w:eastAsia="de-AT"/>
        </w:rPr>
      </w:pPr>
      <w:r w:rsidRPr="0010643D">
        <w:rPr>
          <w:rFonts w:ascii="Calibri" w:eastAsia="Times New Roman" w:hAnsi="Calibri" w:cs="Arial"/>
          <w:b/>
          <w:bCs/>
          <w:color w:val="000000"/>
          <w:sz w:val="24"/>
          <w:szCs w:val="24"/>
          <w:lang w:val="en-US" w:eastAsia="de-AT"/>
        </w:rPr>
        <w:t>The dataset contains the following elements</w:t>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b/>
          <w:bCs/>
          <w:color w:val="000000"/>
          <w:sz w:val="24"/>
          <w:szCs w:val="24"/>
          <w:lang w:val="en-US" w:eastAsia="de-AT"/>
        </w:rPr>
        <w:tab/>
      </w:r>
      <w:r w:rsidRPr="0010643D">
        <w:rPr>
          <w:rFonts w:ascii="Calibri" w:eastAsia="Times New Roman" w:hAnsi="Calibri" w:cs="Arial"/>
          <w:color w:val="000000"/>
          <w:sz w:val="24"/>
          <w:szCs w:val="24"/>
          <w:lang w:val="en-US" w:eastAsia="de-AT"/>
        </w:rPr>
        <w:tab/>
      </w:r>
    </w:p>
    <w:p w14:paraId="06AD96A2"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DOI/PMID</w:t>
      </w:r>
    </w:p>
    <w:p w14:paraId="4C78830B"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 xml:space="preserve">Usually the DOI-number (Digital Object Identifier) of an article is listed, and the PMID (PubMed ID) where DOI is not available. In very few cases, no </w:t>
      </w:r>
      <w:r>
        <w:rPr>
          <w:rFonts w:ascii="Calibri" w:eastAsia="Times New Roman" w:hAnsi="Calibri" w:cs="Arial"/>
          <w:color w:val="000000"/>
          <w:lang w:val="en-US" w:eastAsia="de-AT"/>
        </w:rPr>
        <w:t>permanent identifier exists.</w:t>
      </w:r>
      <w:r>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46480DB2"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COST TYPE</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55423131"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 xml:space="preserve">(1) Gold Open Access and (2) Hybrid Open Access are defined by FWF's Open Access Policy, see: </w:t>
      </w:r>
      <w:hyperlink r:id="rId11" w:history="1">
        <w:r w:rsidRPr="004E661E">
          <w:rPr>
            <w:rStyle w:val="Hyperlink"/>
            <w:rFonts w:ascii="Calibri" w:eastAsia="Times New Roman" w:hAnsi="Calibri" w:cs="Arial"/>
            <w:lang w:val="en-US" w:eastAsia="de-AT"/>
          </w:rPr>
          <w:t>http://www.fwf.ac.at/en/public_relations/oai/index.html</w:t>
        </w:r>
      </w:hyperlink>
      <w:r>
        <w:rPr>
          <w:rFonts w:ascii="Calibri" w:eastAsia="Times New Roman" w:hAnsi="Calibri" w:cs="Arial"/>
          <w:color w:val="000000"/>
          <w:u w:val="single"/>
          <w:lang w:val="en-US" w:eastAsia="de-AT"/>
        </w:rPr>
        <w:t xml:space="preserve"> </w:t>
      </w:r>
    </w:p>
    <w:p w14:paraId="6766023C"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(3) "Other publication costs" are defined as additional costs to the subscription price charged by subscription journals (i.e. submission fees, colour charges, page charges, figure charges, table charges, supplemental charges)</w:t>
      </w:r>
      <w:r w:rsidRPr="001D3A01">
        <w:rPr>
          <w:rFonts w:ascii="Calibri" w:eastAsia="Times New Roman" w:hAnsi="Calibri" w:cs="Arial"/>
          <w:color w:val="000000"/>
          <w:lang w:val="en-US" w:eastAsia="de-AT"/>
        </w:rPr>
        <w:tab/>
      </w:r>
      <w:r>
        <w:rPr>
          <w:rFonts w:ascii="Calibri" w:eastAsia="Times New Roman" w:hAnsi="Calibri" w:cs="Arial"/>
          <w:color w:val="000000"/>
          <w:lang w:val="en-US" w:eastAsia="de-AT"/>
        </w:rPr>
        <w:t>.</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4F70A50B" w14:textId="77777777" w:rsidR="001D3A01" w:rsidRDefault="001D3A01" w:rsidP="001D3A01">
      <w:pPr>
        <w:spacing w:after="0" w:line="240" w:lineRule="auto"/>
        <w:rPr>
          <w:rFonts w:ascii="Calibri" w:eastAsia="Times New Roman" w:hAnsi="Calibri" w:cs="Arial"/>
          <w:b/>
          <w:bCs/>
          <w:color w:val="000000"/>
          <w:lang w:val="en-US" w:eastAsia="de-AT"/>
        </w:rPr>
      </w:pPr>
    </w:p>
    <w:p w14:paraId="2F786A65"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COST</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39965E89"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 xml:space="preserve">Some articles are listed twice because they are charged for Hybrid Open Access as well as for </w:t>
      </w:r>
      <w:r>
        <w:rPr>
          <w:rFonts w:ascii="Calibri" w:eastAsia="Times New Roman" w:hAnsi="Calibri" w:cs="Arial"/>
          <w:color w:val="000000"/>
          <w:lang w:val="en-US" w:eastAsia="de-AT"/>
        </w:rPr>
        <w:t>“</w:t>
      </w:r>
      <w:r w:rsidRPr="001D3A01">
        <w:rPr>
          <w:rFonts w:ascii="Calibri" w:eastAsia="Times New Roman" w:hAnsi="Calibri" w:cs="Arial"/>
          <w:color w:val="000000"/>
          <w:lang w:val="en-US" w:eastAsia="de-AT"/>
        </w:rPr>
        <w:t>Other publication costs</w:t>
      </w:r>
      <w:r>
        <w:rPr>
          <w:rFonts w:ascii="Calibri" w:eastAsia="Times New Roman" w:hAnsi="Calibri" w:cs="Arial"/>
          <w:color w:val="000000"/>
          <w:lang w:val="en-US" w:eastAsia="de-AT"/>
        </w:rPr>
        <w:t>”</w:t>
      </w:r>
      <w:r w:rsidRPr="001D3A01">
        <w:rPr>
          <w:rFonts w:ascii="Calibri" w:eastAsia="Times New Roman" w:hAnsi="Calibri" w:cs="Arial"/>
          <w:color w:val="000000"/>
          <w:lang w:val="en-US" w:eastAsia="de-AT"/>
        </w:rPr>
        <w:t xml:space="preserve">. These articles are marked in </w:t>
      </w:r>
      <w:r w:rsidRPr="001D3A01">
        <w:rPr>
          <w:rFonts w:ascii="Calibri" w:eastAsia="Times New Roman" w:hAnsi="Calibri" w:cs="Arial"/>
          <w:b/>
          <w:bCs/>
          <w:color w:val="FF0000"/>
          <w:lang w:val="en-US" w:eastAsia="de-AT"/>
        </w:rPr>
        <w:t>red</w:t>
      </w:r>
      <w:r w:rsidRPr="001D3A01">
        <w:rPr>
          <w:rFonts w:ascii="Calibri" w:eastAsia="Times New Roman" w:hAnsi="Calibri" w:cs="Arial"/>
          <w:color w:val="000000"/>
          <w:lang w:val="en-US" w:eastAsia="de-AT"/>
        </w:rPr>
        <w:t xml:space="preserve"> in the field "Article Title"</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58B5904D" w14:textId="77777777" w:rsidR="001D3A01" w:rsidRDefault="001D3A01" w:rsidP="001D3A01">
      <w:pPr>
        <w:spacing w:after="0" w:line="240" w:lineRule="auto"/>
        <w:rPr>
          <w:rFonts w:ascii="Calibri" w:eastAsia="Times New Roman" w:hAnsi="Calibri" w:cs="Arial"/>
          <w:color w:val="000000"/>
          <w:lang w:val="en-US" w:eastAsia="de-AT"/>
        </w:rPr>
      </w:pPr>
    </w:p>
    <w:p w14:paraId="486DAE57"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All costs have been converted into EURO (€) and include VAT where applicable.</w:t>
      </w:r>
      <w:r w:rsidRPr="001D3A01">
        <w:rPr>
          <w:rFonts w:ascii="Calibri" w:eastAsia="Times New Roman" w:hAnsi="Calibri" w:cs="Arial"/>
          <w:color w:val="000000"/>
          <w:lang w:val="en-US" w:eastAsia="de-AT"/>
        </w:rPr>
        <w:tab/>
      </w:r>
    </w:p>
    <w:p w14:paraId="32C62DAD" w14:textId="77777777" w:rsidR="001D3A01" w:rsidRDefault="001D3A01" w:rsidP="001D3A01">
      <w:pPr>
        <w:spacing w:after="0" w:line="240" w:lineRule="auto"/>
        <w:rPr>
          <w:rFonts w:ascii="Calibri" w:eastAsia="Times New Roman" w:hAnsi="Calibri" w:cs="Arial"/>
          <w:color w:val="000000"/>
          <w:lang w:val="en-US" w:eastAsia="de-AT"/>
        </w:rPr>
      </w:pPr>
    </w:p>
    <w:p w14:paraId="77D3192A"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Different prices for the same journal are caused either by exchange rate fluctuation or by cost sharing among authors. When these differences are small, it can be assumed that this reflects exchange rate fluctuations. Where they are significant, then it should be assumed that other funders have contributed to the cost of that APC (Article Processing Charge), and the figure cited is the FWF contribution to that APC.</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78795FDC"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ARTICLE TITLE</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635F61A6"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 xml:space="preserve">This is the title of the article as stated on the journal website. </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5D31F857"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JOURNAL TITLE</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6111160B"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Most journal title information were collected from Scopus but some were entere</w:t>
      </w:r>
      <w:r>
        <w:rPr>
          <w:rFonts w:ascii="Calibri" w:eastAsia="Times New Roman" w:hAnsi="Calibri" w:cs="Arial"/>
          <w:color w:val="000000"/>
          <w:lang w:val="en-US" w:eastAsia="de-AT"/>
        </w:rPr>
        <w:t>d manually.</w:t>
      </w:r>
      <w:r w:rsidRPr="001D3A01">
        <w:rPr>
          <w:rFonts w:ascii="Calibri" w:eastAsia="Times New Roman" w:hAnsi="Calibri" w:cs="Arial"/>
          <w:color w:val="000000"/>
          <w:lang w:val="en-US" w:eastAsia="de-AT"/>
        </w:rPr>
        <w:tab/>
      </w:r>
    </w:p>
    <w:p w14:paraId="6787882C" w14:textId="77777777" w:rsidR="001D3A01" w:rsidRDefault="001D3A01">
      <w:pPr>
        <w:rPr>
          <w:rFonts w:ascii="Calibri" w:eastAsia="Times New Roman" w:hAnsi="Calibri" w:cs="Arial"/>
          <w:b/>
          <w:bCs/>
          <w:color w:val="000000"/>
          <w:lang w:val="en-US" w:eastAsia="de-AT"/>
        </w:rPr>
      </w:pPr>
      <w:r>
        <w:rPr>
          <w:rFonts w:ascii="Calibri" w:eastAsia="Times New Roman" w:hAnsi="Calibri" w:cs="Arial"/>
          <w:b/>
          <w:bCs/>
          <w:color w:val="000000"/>
          <w:lang w:val="en-US" w:eastAsia="de-AT"/>
        </w:rPr>
        <w:br w:type="page"/>
      </w:r>
    </w:p>
    <w:p w14:paraId="557FFA91"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lastRenderedPageBreak/>
        <w:t>PUBLISHER</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29BC6CCF"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Sources for publisher names are: (a) Romeo/Sherpa-database or (b) the journal websites.</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3CA71CC3"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YEAR OF PUBLICATION</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72073D54"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It shows the year of publication of an article reimbursed/paid in 2013 by the FWF.</w:t>
      </w:r>
    </w:p>
    <w:p w14:paraId="1AC8AD37" w14:textId="77777777" w:rsidR="001D3A01" w:rsidRDefault="001D3A01" w:rsidP="001D3A01">
      <w:pPr>
        <w:spacing w:after="0" w:line="240" w:lineRule="auto"/>
        <w:rPr>
          <w:rFonts w:ascii="Calibri" w:eastAsia="Times New Roman" w:hAnsi="Calibri" w:cs="Arial"/>
          <w:color w:val="000000"/>
          <w:lang w:val="en-US" w:eastAsia="de-AT"/>
        </w:rPr>
      </w:pPr>
    </w:p>
    <w:p w14:paraId="1FA9C776"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In some cases, there is a time lag of a year and more between the year of publication and the payment in 2013. That is mostly explained by administrative delays. However, it was monitored by the FWF that these articles were made Open Access by the publishers at the date of online publication. In very few cases, some days of delay were tolerated. For the cases in questions, see "Notes".</w:t>
      </w:r>
      <w:r w:rsidRPr="001D3A01">
        <w:rPr>
          <w:rFonts w:ascii="Calibri" w:eastAsia="Times New Roman" w:hAnsi="Calibri" w:cs="Arial"/>
          <w:color w:val="000000"/>
          <w:lang w:val="en-US" w:eastAsia="de-AT"/>
        </w:rPr>
        <w:tab/>
        <w:t xml:space="preserve"> </w:t>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r w:rsidRPr="001D3A01">
        <w:rPr>
          <w:rFonts w:ascii="Calibri" w:eastAsia="Times New Roman" w:hAnsi="Calibri" w:cs="Arial"/>
          <w:color w:val="000000"/>
          <w:lang w:val="en-US" w:eastAsia="de-AT"/>
        </w:rPr>
        <w:tab/>
      </w:r>
    </w:p>
    <w:p w14:paraId="4F55C159"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OPEN ACCESS</w:t>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r w:rsidRPr="001D3A01">
        <w:rPr>
          <w:rFonts w:ascii="Calibri" w:eastAsia="Times New Roman" w:hAnsi="Calibri" w:cs="Arial"/>
          <w:b/>
          <w:bCs/>
          <w:color w:val="000000"/>
          <w:lang w:val="en-US" w:eastAsia="de-AT"/>
        </w:rPr>
        <w:tab/>
      </w:r>
    </w:p>
    <w:p w14:paraId="27E7581D"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color w:val="000000"/>
          <w:lang w:val="en-US" w:eastAsia="de-AT"/>
        </w:rPr>
        <w:t xml:space="preserve">"OA" is used when APCs were charged either for an article in an Open Access journal or </w:t>
      </w:r>
      <w:r>
        <w:rPr>
          <w:rFonts w:ascii="Calibri" w:eastAsia="Times New Roman" w:hAnsi="Calibri" w:cs="Arial"/>
          <w:color w:val="000000"/>
          <w:lang w:val="en-US" w:eastAsia="de-AT"/>
        </w:rPr>
        <w:t xml:space="preserve">for Hybrid </w:t>
      </w:r>
      <w:r w:rsidRPr="001D3A01">
        <w:rPr>
          <w:rFonts w:ascii="Calibri" w:eastAsia="Times New Roman" w:hAnsi="Calibri" w:cs="Arial"/>
          <w:color w:val="000000"/>
          <w:lang w:val="en-US" w:eastAsia="de-AT"/>
        </w:rPr>
        <w:t xml:space="preserve">Open Access in a subscription journal. </w:t>
      </w:r>
    </w:p>
    <w:p w14:paraId="712C0FC6" w14:textId="77777777" w:rsidR="001D3A01" w:rsidRDefault="001D3A01" w:rsidP="001D3A01">
      <w:pPr>
        <w:spacing w:after="0" w:line="240" w:lineRule="auto"/>
        <w:rPr>
          <w:rFonts w:ascii="Calibri" w:eastAsia="Times New Roman" w:hAnsi="Calibri" w:cs="Arial"/>
          <w:b/>
          <w:bCs/>
          <w:color w:val="000000"/>
          <w:lang w:val="en-US" w:eastAsia="de-AT"/>
        </w:rPr>
      </w:pPr>
    </w:p>
    <w:p w14:paraId="42660475" w14:textId="77777777" w:rsidR="001D3A01" w:rsidRPr="001D3A01" w:rsidRDefault="001D3A01" w:rsidP="001D3A01">
      <w:pPr>
        <w:spacing w:after="0" w:line="240" w:lineRule="auto"/>
        <w:rPr>
          <w:rFonts w:ascii="Times New Roman" w:eastAsia="Times New Roman" w:hAnsi="Times New Roman" w:cs="Times New Roman"/>
          <w:sz w:val="24"/>
          <w:szCs w:val="24"/>
          <w:lang w:val="en-US" w:eastAsia="de-AT"/>
        </w:rPr>
      </w:pPr>
      <w:r w:rsidRPr="001D3A01">
        <w:rPr>
          <w:rFonts w:ascii="Calibri" w:eastAsia="Times New Roman" w:hAnsi="Calibri" w:cs="Arial"/>
          <w:b/>
          <w:bCs/>
          <w:color w:val="000000"/>
          <w:lang w:val="en-US" w:eastAsia="de-AT"/>
        </w:rPr>
        <w:t>NOTES</w:t>
      </w:r>
    </w:p>
    <w:p w14:paraId="7FBAAB0C" w14:textId="127E4601" w:rsidR="0010643D" w:rsidRPr="0010643D" w:rsidRDefault="001D3A01" w:rsidP="001D3A01">
      <w:pPr>
        <w:rPr>
          <w:rFonts w:ascii="Calibri" w:eastAsia="Times New Roman" w:hAnsi="Calibri" w:cs="Arial"/>
          <w:color w:val="000000"/>
          <w:lang w:val="en-US" w:eastAsia="de-AT"/>
        </w:rPr>
      </w:pPr>
      <w:r>
        <w:rPr>
          <w:rFonts w:ascii="Calibri" w:eastAsia="Times New Roman" w:hAnsi="Calibri" w:cs="Arial"/>
          <w:color w:val="000000"/>
          <w:lang w:val="en-US" w:eastAsia="de-AT"/>
        </w:rPr>
        <w:t>Additional information,</w:t>
      </w:r>
      <w:r w:rsidRPr="001D3A01">
        <w:rPr>
          <w:rFonts w:ascii="Calibri" w:eastAsia="Times New Roman" w:hAnsi="Calibri" w:cs="Arial"/>
          <w:color w:val="000000"/>
          <w:lang w:val="en-US" w:eastAsia="de-AT"/>
        </w:rPr>
        <w:t xml:space="preserve"> if necessary.</w:t>
      </w:r>
      <w:bookmarkStart w:id="0" w:name="_GoBack"/>
      <w:bookmarkEnd w:id="0"/>
    </w:p>
    <w:sectPr w:rsidR="0010643D" w:rsidRPr="0010643D">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CBE7D" w14:textId="77777777" w:rsidR="001D3A01" w:rsidRDefault="001D3A01" w:rsidP="001D3A01">
      <w:pPr>
        <w:spacing w:after="0" w:line="240" w:lineRule="auto"/>
      </w:pPr>
      <w:r>
        <w:separator/>
      </w:r>
    </w:p>
  </w:endnote>
  <w:endnote w:type="continuationSeparator" w:id="0">
    <w:p w14:paraId="353B25B4" w14:textId="77777777" w:rsidR="001D3A01" w:rsidRDefault="001D3A01" w:rsidP="001D3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74B75D" w14:textId="77777777" w:rsidR="001D3A01" w:rsidRDefault="001D3A01" w:rsidP="001D3A01">
      <w:pPr>
        <w:spacing w:after="0" w:line="240" w:lineRule="auto"/>
      </w:pPr>
      <w:r>
        <w:separator/>
      </w:r>
    </w:p>
  </w:footnote>
  <w:footnote w:type="continuationSeparator" w:id="0">
    <w:p w14:paraId="5D1B384B" w14:textId="77777777" w:rsidR="001D3A01" w:rsidRDefault="001D3A01" w:rsidP="001D3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75C11" w14:textId="77777777" w:rsidR="001D3A01" w:rsidRDefault="001D3A01" w:rsidP="001D3A01">
    <w:pPr>
      <w:pStyle w:val="Kopfzeile"/>
      <w:jc w:val="right"/>
    </w:pPr>
    <w:r>
      <w:rPr>
        <w:noProof/>
        <w:lang w:eastAsia="de-AT"/>
      </w:rPr>
      <w:drawing>
        <wp:inline distT="0" distB="0" distL="0" distR="0" wp14:anchorId="70AB5AC3" wp14:editId="78C5D4A3">
          <wp:extent cx="1312697" cy="410825"/>
          <wp:effectExtent l="0" t="0" r="1905" b="8890"/>
          <wp:docPr id="1" name="Grafik 1" descr="C:\Users\Reckling\Pictures\fwf-logo_v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ckling\Pictures\fwf-logo_va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428" cy="41074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01"/>
    <w:rsid w:val="0010643D"/>
    <w:rsid w:val="001D3A01"/>
    <w:rsid w:val="009A57C3"/>
    <w:rsid w:val="00AA0C89"/>
    <w:rsid w:val="00D207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3A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3A01"/>
  </w:style>
  <w:style w:type="paragraph" w:styleId="Fuzeile">
    <w:name w:val="footer"/>
    <w:basedOn w:val="Standard"/>
    <w:link w:val="FuzeileZchn"/>
    <w:uiPriority w:val="99"/>
    <w:unhideWhenUsed/>
    <w:rsid w:val="001D3A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3A01"/>
  </w:style>
  <w:style w:type="paragraph" w:styleId="Sprechblasentext">
    <w:name w:val="Balloon Text"/>
    <w:basedOn w:val="Standard"/>
    <w:link w:val="SprechblasentextZchn"/>
    <w:uiPriority w:val="99"/>
    <w:semiHidden/>
    <w:unhideWhenUsed/>
    <w:rsid w:val="001D3A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A01"/>
    <w:rPr>
      <w:rFonts w:ascii="Tahoma" w:hAnsi="Tahoma" w:cs="Tahoma"/>
      <w:sz w:val="16"/>
      <w:szCs w:val="16"/>
    </w:rPr>
  </w:style>
  <w:style w:type="character" w:styleId="Hyperlink">
    <w:name w:val="Hyperlink"/>
    <w:basedOn w:val="Absatz-Standardschriftart"/>
    <w:uiPriority w:val="99"/>
    <w:unhideWhenUsed/>
    <w:rsid w:val="001D3A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D3A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3A01"/>
  </w:style>
  <w:style w:type="paragraph" w:styleId="Fuzeile">
    <w:name w:val="footer"/>
    <w:basedOn w:val="Standard"/>
    <w:link w:val="FuzeileZchn"/>
    <w:uiPriority w:val="99"/>
    <w:unhideWhenUsed/>
    <w:rsid w:val="001D3A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3A01"/>
  </w:style>
  <w:style w:type="paragraph" w:styleId="Sprechblasentext">
    <w:name w:val="Balloon Text"/>
    <w:basedOn w:val="Standard"/>
    <w:link w:val="SprechblasentextZchn"/>
    <w:uiPriority w:val="99"/>
    <w:semiHidden/>
    <w:unhideWhenUsed/>
    <w:rsid w:val="001D3A0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A01"/>
    <w:rPr>
      <w:rFonts w:ascii="Tahoma" w:hAnsi="Tahoma" w:cs="Tahoma"/>
      <w:sz w:val="16"/>
      <w:szCs w:val="16"/>
    </w:rPr>
  </w:style>
  <w:style w:type="character" w:styleId="Hyperlink">
    <w:name w:val="Hyperlink"/>
    <w:basedOn w:val="Absatz-Standardschriftart"/>
    <w:uiPriority w:val="99"/>
    <w:unhideWhenUsed/>
    <w:rsid w:val="001D3A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989298">
      <w:bodyDiv w:val="1"/>
      <w:marLeft w:val="0"/>
      <w:marRight w:val="0"/>
      <w:marTop w:val="0"/>
      <w:marBottom w:val="0"/>
      <w:divBdr>
        <w:top w:val="none" w:sz="0" w:space="0" w:color="auto"/>
        <w:left w:val="none" w:sz="0" w:space="0" w:color="auto"/>
        <w:bottom w:val="none" w:sz="0" w:space="0" w:color="auto"/>
        <w:right w:val="none" w:sz="0" w:space="0" w:color="auto"/>
      </w:divBdr>
    </w:div>
    <w:div w:id="16328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wf.ac.at/en/public_relations/oai/index.html" TargetMode="External"/><Relationship Id="rId5" Type="http://schemas.microsoft.com/office/2007/relationships/stylesWithEffects" Target="stylesWithEffects.xml"/><Relationship Id="rId10" Type="http://schemas.openxmlformats.org/officeDocument/2006/relationships/hyperlink" Target="http://www.fwf.ac.at/en/projects/peer-reviewed_publications.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137F338DB07664CA76E75891840B300" ma:contentTypeVersion="5" ma:contentTypeDescription="Ein neues Dokument erstellen." ma:contentTypeScope="" ma:versionID="9750207b45cb336ee87c134afbfb1c54">
  <xsd:schema xmlns:xsd="http://www.w3.org/2001/XMLSchema" xmlns:xs="http://www.w3.org/2001/XMLSchema" xmlns:p="http://schemas.microsoft.com/office/2006/metadata/properties" xmlns:ns1="http://schemas.microsoft.com/sharepoint/v3" targetNamespace="http://schemas.microsoft.com/office/2006/metadata/properties" ma:root="true" ma:fieldsID="0c26ad1a23ec3e9e4761892dfb3b82b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Absender" ma:hidden="true" ma:internalName="EmailSender">
      <xsd:simpleType>
        <xsd:restriction base="dms:Note">
          <xsd:maxLength value="255"/>
        </xsd:restriction>
      </xsd:simpleType>
    </xsd:element>
    <xsd:element name="EmailTo" ma:index="9" nillable="true" ma:displayName="E-Mail an"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von" ma:hidden="true" ma:internalName="EmailFrom">
      <xsd:simpleType>
        <xsd:restriction base="dms:Text"/>
      </xsd:simpleType>
    </xsd:element>
    <xsd:element name="EmailSubject" ma:index="12" nillable="true" ma:displayName="E-Mail-Betreff"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0265FFB8-584D-49FC-AC16-959B32B88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E75A4-3D62-4858-AB6A-59E18E3FA43D}">
  <ds:schemaRefs>
    <ds:schemaRef ds:uri="http://schemas.microsoft.com/sharepoint/v3/contenttype/forms"/>
  </ds:schemaRefs>
</ds:datastoreItem>
</file>

<file path=customXml/itemProps3.xml><?xml version="1.0" encoding="utf-8"?>
<ds:datastoreItem xmlns:ds="http://schemas.openxmlformats.org/officeDocument/2006/customXml" ds:itemID="{4A62461B-CFC9-4238-83E2-ABAA2D4EE30E}">
  <ds:schemaRefs>
    <ds:schemaRef ds:uri="http://purl.org/dc/elements/1.1/"/>
    <ds:schemaRef ds:uri="http://schemas.microsoft.com/office/2006/metadata/properties"/>
    <ds:schemaRef ds:uri="http://schemas.openxmlformats.org/package/2006/metadata/core-properties"/>
    <ds:schemaRef ds:uri="http://schemas.microsoft.com/sharepoint/v3"/>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Falk RECKLING</dc:creator>
  <cp:lastModifiedBy>Dr. Falk RECKLING</cp:lastModifiedBy>
  <cp:revision>3</cp:revision>
  <dcterms:created xsi:type="dcterms:W3CDTF">2014-04-07T09:20:00Z</dcterms:created>
  <dcterms:modified xsi:type="dcterms:W3CDTF">2014-04-07T11:24:00Z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0x010100F137F338DB07664CA76E75891840B300</vt:lpwstr>
  </property>
</Properties>
</file>