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40"/>
      </w:pPr>
      <w:r>
        <w:rPr>
          <w:rFonts w:ascii="Arial" w:cs="Arial" w:eastAsia="Arial" w:hAnsi="Arial"/>
          <w:b/>
          <w:bCs/>
          <w:color w:val="0F1C47"/>
          <w:sz w:val="40"/>
          <w:szCs w:val="40"/>
        </w:rPr>
        <w:t xml:space="preserve">Paid Media Campaign Status Report</w:t>
      </w:r>
    </w:p>
    <w:p>
      <w:pPr>
        <w:spacing w:before="0" w:after="40"/>
      </w:pPr>
      <w:r>
        <w:rPr>
          <w:rFonts w:ascii="Arial" w:cs="Arial" w:eastAsia="Arial" w:hAnsi="Arial"/>
          <w:color w:val="2C64E3"/>
          <w:sz w:val="24"/>
          <w:szCs w:val="24"/>
        </w:rPr>
        <w:t xml:space="preserve">Mortgage ABM — Case Study Campaigns</w:t>
      </w:r>
    </w:p>
    <w:p>
      <w:pPr>
        <w:spacing w:before="0" w:after="2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Thursday, February 19, 2026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2C64E3" w:sz="6"/>
              <w:left w:val="single" w:color="2C64E3" w:sz="6"/>
              <w:bottom w:val="none" w:color="FFFFFF" w:sz="0"/>
              <w:right w:val="none" w:color="FFFFFF" w:sz="0"/>
            </w:tcBorders>
            <w:shd w:fill="F0F5F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F1C47"/>
                <w:sz w:val="22"/>
                <w:szCs w:val="22"/>
              </w:rPr>
              <w:t xml:space="preserve">Executive Summary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 are running mortgage ABM case study campaigns across three platforms: LinkedIn, Meta (Facebook/Instagram), and Google Ads. LinkedIn is the only platform actively delivering. The Meta campaigns are built but still in draft and need to be published. The Google Ads YouTube pre-roll campaign is enabled but the audience list is under review by Google, so no impressions have been served yet.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1C47"/>
                <w:sz w:val="19"/>
                <w:szCs w:val="19"/>
              </w:rPr>
              <w:t xml:space="preserve">Total combined daily budget once all platforms are live: $349/day (~$10,470/month).</w:t>
            </w:r>
          </w:p>
        </w:tc>
      </w:tr>
    </w:tbl>
    <w:p>
      <w:pPr>
        <w:spacing w:before="360" w:after="16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2430"/>
        <w:gridCol w:w="2430"/>
        <w:gridCol w:w="243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FF9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1C47"/>
                <w:sz w:val="32"/>
                <w:szCs w:val="32"/>
              </w:rPr>
              <w:t xml:space="preserve">$349</w:t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Total Daily Budget</w:t>
            </w:r>
          </w:p>
          <w:p>
            <w:pPr>
              <w:spacing w:before="2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4"/>
                <w:szCs w:val="14"/>
              </w:rPr>
              <w:t xml:space="preserve">across 3 platforms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FF9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1C47"/>
                <w:sz w:val="32"/>
                <w:szCs w:val="32"/>
              </w:rPr>
              <w:t xml:space="preserve">$376.52</w:t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Active Spend</w:t>
            </w:r>
          </w:p>
          <w:p>
            <w:pPr>
              <w:spacing w:before="2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4"/>
                <w:szCs w:val="14"/>
              </w:rPr>
              <w:t xml:space="preserve">LinkedIn only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FF9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1C47"/>
                <w:sz w:val="32"/>
                <w:szCs w:val="32"/>
              </w:rPr>
              <w:t xml:space="preserve">12,348</w:t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Total Impressions</w:t>
            </w:r>
          </w:p>
          <w:p>
            <w:pPr>
              <w:spacing w:before="2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4"/>
                <w:szCs w:val="14"/>
              </w:rPr>
              <w:t xml:space="preserve">LinkedIn only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FF9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1C47"/>
                <w:sz w:val="32"/>
                <w:szCs w:val="32"/>
              </w:rPr>
              <w:t xml:space="preserve">171</w:t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Total Clicks</w:t>
            </w:r>
          </w:p>
          <w:p>
            <w:pPr>
              <w:spacing w:before="2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4"/>
                <w:szCs w:val="14"/>
              </w:rPr>
              <w:t xml:space="preserve">1.39% blended CTR</w:t>
            </w:r>
          </w:p>
        </w:tc>
      </w:tr>
    </w:tbl>
    <w:p>
      <w:pPr>
        <w:pBdr>
          <w:bottom w:val="single" w:color="2C64E3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F1C47"/>
          <w:sz w:val="26"/>
          <w:szCs w:val="26"/>
        </w:rPr>
        <w:t xml:space="preserve">Cross-Platform Overview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500"/>
        <w:gridCol w:w="1500"/>
        <w:gridCol w:w="1920"/>
      </w:tblGrid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C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C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Campaigns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C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Daily Budget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C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Spend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C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Impressions</w:t>
            </w:r>
          </w:p>
        </w:tc>
        <w:tc>
          <w:tcPr>
            <w:tcW w:type="dxa" w:w="19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C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LinkedIn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$200/day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$376.52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12,348</w:t>
            </w:r>
          </w:p>
        </w:tc>
        <w:tc>
          <w:tcPr>
            <w:tcW w:type="dxa" w:w="19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7A3D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color w:val="1B7A3D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Meta / Facebook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 (1 parent)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$99/day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9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B8860B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Draft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Ads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active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$50/day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9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B8860B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Under Review</w:t>
            </w:r>
          </w:p>
        </w:tc>
      </w:tr>
    </w:tbl>
    <w:p>
      <w:r>
        <w:br w:type="page"/>
      </w:r>
    </w:p>
    <w:p>
      <w:pPr>
        <w:pBdr>
          <w:bottom w:val="single" w:color="2C64E3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F1C47"/>
          <w:sz w:val="26"/>
          <w:szCs w:val="26"/>
        </w:rPr>
        <w:t xml:space="preserve">LinkedIn Campaign Manager</w:t>
      </w:r>
    </w:p>
    <w:p>
      <w:pPr>
        <w:spacing w:before="120" w:after="80"/>
        <w:jc w:val="left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Account: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Truv Ad Account (ID: 517969837)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Objective: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Website Visits  |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Optimization: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Landing Page Clicks (Maximum Delivery)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Audience: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Contact List “Top 250: mortgage-ops-targets” (~610 members)</w:t>
      </w:r>
    </w:p>
    <w:p>
      <w:pPr>
        <w:spacing w:before="80" w:after="200"/>
        <w:jc w:val="left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Segments: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Operations 38%, Finance 18%, Business Development 15%, Sales 8%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00"/>
        <w:gridCol w:w="700"/>
        <w:gridCol w:w="1300"/>
        <w:gridCol w:w="1300"/>
        <w:gridCol w:w="1100"/>
        <w:gridCol w:w="1020"/>
      </w:tblGrid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C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Campaign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C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Budget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C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Ads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C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Spend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C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Impressions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C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Clicks</w:t>
            </w:r>
          </w:p>
        </w:tc>
        <w:tc>
          <w:tcPr>
            <w:tcW w:type="dxa" w:w="10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C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CTR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CCM Case Study – Ops Audience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$50/day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$26.13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238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0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FCM Case Study – Ops Audience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$50/day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$29.22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133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0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18"/>
                <w:szCs w:val="18"/>
              </w:rPr>
              <w:t xml:space="preserve">3.76%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PHM Case Study – Ops Audience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$100/day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$321.17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11,977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166</w:t>
            </w:r>
          </w:p>
        </w:tc>
        <w:tc>
          <w:tcPr>
            <w:tcW w:type="dxa" w:w="10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1.39%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before="160" w:after="80"/>
        <w:jc w:val="left"/>
      </w:pPr>
      <w:r>
        <w:rPr>
          <w:rFonts w:ascii="Arial" w:cs="Arial" w:eastAsia="Arial" w:hAnsi="Arial"/>
          <w:b/>
          <w:bCs/>
          <w:color w:val="0F1C47"/>
          <w:sz w:val="20"/>
          <w:szCs w:val="20"/>
        </w:rPr>
        <w:t xml:space="preserve">Key observations: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FCM has the highest CTR at 3.76%, despite the smallest impression volume. PHM dominates total volume with $321 in spend and 12K impressions, driven by its doubled budget ($100/day) and 9-ad creative rotation. CCM has generated 238 impressions but no clicks yet—worth monitoring creative resonance.</w:t>
      </w:r>
    </w:p>
    <w:p>
      <w:pPr>
        <w:pBdr>
          <w:bottom w:val="single" w:color="2C64E3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F1C47"/>
          <w:sz w:val="26"/>
          <w:szCs w:val="26"/>
        </w:rPr>
        <w:t xml:space="preserve">Meta / Facebook Ads</w:t>
      </w:r>
    </w:p>
    <w:p>
      <w:pPr>
        <w:spacing w:before="120" w:after="80"/>
        <w:jc w:val="left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Account: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Truv B2B (ID: 1048327588356046)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Campaign: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Truv | Mortgage ABM | Case Studies | Feb 2026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Objective: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Awareness (Maximize Reach)  |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Campaign Score: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67/100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Audience: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Custom List “truvOPs-meta-custom-audience” (High Value) — Est. 2,000–2,300 people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Targeting: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United States, Ages 18–65+, All Genders, All Languages</w:t>
      </w:r>
    </w:p>
    <w:p>
      <w:pPr>
        <w:spacing w:before="80" w:after="200"/>
        <w:jc w:val="left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Frequency Cap: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2 impressions every 2 days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2400"/>
        <w:gridCol w:w="2320"/>
      </w:tblGrid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C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 Set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C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Daily Budget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C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Creative</w:t>
            </w:r>
          </w:p>
        </w:tc>
        <w:tc>
          <w:tcPr>
            <w:tcW w:type="dxa" w:w="23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C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First Continental Mortgage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$33/day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Static | Cost Savings (1 ad)</w:t>
            </w:r>
          </w:p>
        </w:tc>
        <w:tc>
          <w:tcPr>
            <w:tcW w:type="dxa" w:w="23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B8860B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Draft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CrossCountry Mortgage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$33/day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Static | Cost Savings (1 ad)</w:t>
            </w:r>
          </w:p>
        </w:tc>
        <w:tc>
          <w:tcPr>
            <w:tcW w:type="dxa" w:w="23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B8860B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Draft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Prosperity Home Mortgage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$33/day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Static | Cost Savings (1 ad)</w:t>
            </w:r>
          </w:p>
        </w:tc>
        <w:tc>
          <w:tcPr>
            <w:tcW w:type="dxa" w:w="23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B8860B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Draft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before="160" w:after="80"/>
        <w:jc w:val="left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Action required: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All three ad sets are toggled on but remain in draft status. There are 7 items in the “Review and publish” queue in Ads Manager. These campaigns will not spend until they are published.</w:t>
      </w:r>
    </w:p>
    <w:p>
      <w:pPr>
        <w:pBdr>
          <w:bottom w:val="single" w:color="2C64E3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F1C47"/>
          <w:sz w:val="26"/>
          <w:szCs w:val="26"/>
        </w:rPr>
        <w:t xml:space="preserve">Google Ads</w:t>
      </w:r>
    </w:p>
    <w:p>
      <w:pPr>
        <w:spacing w:before="120" w:after="80"/>
        <w:jc w:val="left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Account: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Truv (cameron.wolf@truv.com)</w:t>
      </w:r>
    </w:p>
    <w:p>
      <w:pPr>
        <w:spacing w:before="80" w:after="160"/>
        <w:jc w:val="left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Total campaigns in account: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30 (28 paused, 2 ended, 1 active)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1B7A3D" w:sz="4"/>
              <w:left w:val="single" w:color="1B7A3D" w:sz="4"/>
              <w:bottom w:val="single" w:color="D0D0D0" w:sz="1"/>
              <w:right w:val="single" w:color="D0D0D0" w:sz="1"/>
            </w:tcBorders>
            <w:shd w:fill="F0FAF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7A3D"/>
                <w:sz w:val="22"/>
                <w:szCs w:val="22"/>
              </w:rPr>
              <w:t xml:space="preserve">Active Campaign: </w:t>
            </w:r>
            <w:r>
              <w:rPr>
                <w:rFonts w:ascii="Arial" w:cs="Arial" w:eastAsia="Arial" w:hAnsi="Arial"/>
                <w:b/>
                <w:bCs/>
                <w:color w:val="0F1C47"/>
                <w:sz w:val="22"/>
                <w:szCs w:val="22"/>
              </w:rPr>
              <w:t xml:space="preserve">CCM Case Study – YouTube Pre-Roll – Feb 2026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Type: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Demand Gen  |  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Goal: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Clicks  |  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Budget: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$50/day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Channels: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YouTube In-Stream, YouTube In-Feed, Gmail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Audience: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“CCM Customer Match – Mortgage ABM” with segment “Google Expansion – Mortgage Ops Leaders – Feb 2026”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Creative: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 CrossCountry Mortgage case study videos (0:40–1:10)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Destination: </w:t>
            </w:r>
            <w:r>
              <w:rPr>
                <w:rFonts w:ascii="Arial" w:cs="Arial" w:eastAsia="Arial" w:hAnsi="Arial"/>
                <w:color w:val="2C64E3"/>
                <w:sz w:val="19"/>
                <w:szCs w:val="19"/>
              </w:rPr>
              <w:t xml:space="preserve">truv.com/lp/crosscountry-mortgage-case-study</w:t>
            </w:r>
          </w:p>
          <w:p>
            <w:pPr>
              <w:spacing w:before="100" w:after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Status: </w:t>
            </w:r>
            <w:r>
              <w:rPr>
                <w:rFonts w:ascii="Arial" w:cs="Arial" w:eastAsia="Arial" w:hAnsi="Arial"/>
                <w:b/>
                <w:bCs/>
                <w:color w:val="B8860B"/>
                <w:sz w:val="19"/>
                <w:szCs w:val="19"/>
              </w:rPr>
              <w:t xml:space="preserve">Bid strategy learning. Audience list currently under review by Google. No impressions served yet. Ad strength flagged as Incomplete.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The remaining 29 paused/ended campaigns are legacy Search, Display, and Performance Max campaigns from earlier initiatives. All show $0 spend in the last 30 days.</w:t>
      </w:r>
    </w:p>
    <w:p>
      <w:pPr>
        <w:pBdr>
          <w:bottom w:val="single" w:color="2C64E3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F1C47"/>
          <w:sz w:val="26"/>
          <w:szCs w:val="26"/>
        </w:rPr>
        <w:t xml:space="preserve">Action Items</w:t>
      </w:r>
    </w:p>
    <w:p>
      <w:pPr>
        <w:pStyle w:val="ListParagraph"/>
        <w:numPr>
          <w:ilvl w:val="0"/>
          <w:numId w:val="2"/>
        </w:numPr>
        <w:spacing w:before="12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Publish Meta campaigns: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Review the 7 pending items in Ads Manager and publish all three ad sets (FCM, CCM, PHM) to begin delivery.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Monitor Google audience review: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The Customer Match list is under review. Once approved, the YouTube pre-roll campaign should start delivering. Also address the “Ad strength: Incomplete” flag by adding headlines/descriptions.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Watch CCM LinkedIn performance: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238 impressions with 0 clicks. If this continues, consider refreshing creative or ad copy for this campaign.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Review PHM budget allocation: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PHM is set at $100/day (double the others). Confirm this is intentional given it’s capturing the majority of spend and impressions.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Bdr>
          <w:top w:val="single" w:color="D0D0D0" w:sz="2" w:space="8"/>
        </w:pBdr>
        <w:spacing w:before="240" w:after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Prepared by Cameron Wolf, Sr. Marketing Manager</w:t>
      </w:r>
    </w:p>
    <w:p>
      <w:pPr>
        <w:spacing w:before="40" w:after="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Data pulled from LinkedIn Campaign Manager, Meta Ads Manager, and Google Ads on Thursday, February 19, 2026.</w:t>
      </w:r>
    </w:p>
    <w:sectPr>
      <w:headerReference w:type="default" r:id="rId6"/>
      <w:footerReference w:type="default" r:id="rId7"/>
      <w:pgSz w:w="12240" w:h="15840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0D0" w:sz="2" w:space="6"/>
      </w:pBdr>
      <w:tabs>
        <w:tab w:val="right" w:pos="9026"/>
      </w:tabs>
      <w:spacing w:before="0"/>
    </w:pPr>
    <w:r>
      <w:rPr>
        <w:rFonts w:ascii="Arial" w:cs="Arial" w:eastAsia="Arial" w:hAnsi="Arial"/>
        <w:color w:val="666666"/>
        <w:sz w:val="14"/>
        <w:szCs w:val="14"/>
      </w:rPr>
      <w:t xml:space="preserve">Confidential — Truv Marketing</w:t>
    </w:r>
    <w:r>
      <w:rPr>
        <w:rFonts w:ascii="Arial" w:cs="Arial" w:eastAsia="Arial" w:hAnsi="Arial"/>
        <w:color w:val="666666"/>
        <w:sz w:val="14"/>
        <w:szCs w:val="14"/>
      </w:rPr>
      <w:t xml:space="preserve">	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64E3" w:sz="4" w:space="6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2C64E3"/>
        <w:sz w:val="20"/>
        <w:szCs w:val="20"/>
      </w:rPr>
      <w:t xml:space="preserve">TRUV</w:t>
    </w:r>
    <w:r>
      <w:rPr>
        <w:rFonts w:ascii="Arial" w:cs="Arial" w:eastAsia="Arial" w:hAnsi="Arial"/>
        <w:color w:val="666666"/>
        <w:sz w:val="18"/>
        <w:szCs w:val="18"/>
      </w:rPr>
      <w:t xml:space="preserve">  |  Paid Media Campaign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0F1C4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60"/>
      <w:outlineLvl w:val="1"/>
    </w:pPr>
    <w:rPr>
      <w:rFonts w:ascii="Arial" w:cs="Arial" w:eastAsia="Arial" w:hAnsi="Arial"/>
      <w:b/>
      <w:bCs/>
      <w:color w:val="0F1C4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2026-02-19T14:50:58.057Z</dcterms:created>
  <dcterms:modified xsi:type="dcterms:W3CDTF">2026-02-19T14:50:58.057Z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