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5263" cy="606797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6067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8610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64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223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at this 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with 3rd party (DMV)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Accessible from mobile device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 taken in system must be auditable/recorded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hosted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vendors specified (AWS, Azure, Google, etc…)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browsers specified(Chrome, Edge, Safari, Mozilla, etc…)</w:t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3.jpg"/>
          <a:graphic>
            <a:graphicData uri="http://schemas.openxmlformats.org/drawingml/2006/picture">
              <pic:pic>
                <pic:nvPicPr>
                  <pic:cNvPr descr="SNHU logo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TKgYfGf6PptBLAtJ5F7tDztLg==">AMUW2mW4gXI+R5tRDaOpsz1luLDxnwtHDyrl1KIbnLx7RXjCbFcTVtwl/nfGms/iliAOmkIq1R9Q0pI9u3Q7drDDL/1dGAZO/H3lZHqWb1CIsxKP+m0MbCrkbe+hkTUfhtatZpCTV13n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