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j45xcyao4wnw" w:id="0"/>
      <w:bookmarkEnd w:id="0"/>
      <w:r w:rsidDel="00000000" w:rsidR="00000000" w:rsidRPr="00000000">
        <w:rPr>
          <w:sz w:val="60"/>
          <w:szCs w:val="6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5572125</wp:posOffset>
            </wp:positionH>
            <wp:positionV relativeFrom="page">
              <wp:posOffset>523875</wp:posOffset>
            </wp:positionV>
            <wp:extent cx="1343518" cy="4810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51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color w:val="78556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60"/>
          <w:szCs w:val="60"/>
          <w:u w:val="single"/>
          <w:rtl w:val="0"/>
        </w:rPr>
        <w:t xml:space="preserve">TRABAJO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color w:val="78556e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b w:val="1"/>
          <w:color w:val="78556e"/>
          <w:sz w:val="52"/>
          <w:szCs w:val="5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52"/>
          <w:szCs w:val="52"/>
          <w:u w:val="single"/>
          <w:rtl w:val="0"/>
        </w:rPr>
        <w:t xml:space="preserve">Programación 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238012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5376" l="0" r="-1399" t="246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80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Georgia" w:cs="Georgia" w:eastAsia="Georgia" w:hAnsi="Georgi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Georgia" w:cs="Georgia" w:eastAsia="Georgia" w:hAnsi="Georgi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Georgia" w:cs="Georgia" w:eastAsia="Georgia" w:hAnsi="Georgia"/>
          <w:b w:val="1"/>
          <w:i w:val="1"/>
          <w:color w:val="78556e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78556e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Bina Agustina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30"/>
          <w:szCs w:val="30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Zaragoza Marina Luz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78556e"/>
          <w:sz w:val="30"/>
          <w:szCs w:val="30"/>
          <w:rtl w:val="0"/>
        </w:rPr>
        <w:t xml:space="preserve">Profesor:</w:t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Nardone Juan Pablo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i w:val="1"/>
          <w:sz w:val="30"/>
          <w:szCs w:val="30"/>
          <w:rtl w:val="0"/>
        </w:rPr>
        <w:t xml:space="preserve">Facultad de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Ingeniería y Ciencias Exactas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Fonts w:ascii="Georgia" w:cs="Georgia" w:eastAsia="Georgia" w:hAnsi="Georgia"/>
          <w:i w:val="1"/>
          <w:sz w:val="30"/>
          <w:szCs w:val="30"/>
          <w:rtl w:val="0"/>
        </w:rPr>
        <w:t xml:space="preserve">Año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>
          <w:rFonts w:ascii="Georgia" w:cs="Georgia" w:eastAsia="Georgia" w:hAnsi="Georgia"/>
          <w:b w:val="1"/>
          <w:color w:val="78556e"/>
        </w:rPr>
      </w:pPr>
      <w:bookmarkStart w:colFirst="0" w:colLast="0" w:name="_m9js8upwdjq9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78556e"/>
          <w:rtl w:val="0"/>
        </w:rPr>
        <w:t xml:space="preserve">MOONPay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Temática del proyecto: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Sistema de gestión para inmobiliarias, orientado a la administración de propiedades, inquilinos, contratos y pagos, de uso exclusivo por parte del personal inmobiliario.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Objetivo general: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Facilitar y optimizar las tareas de registro, consulta y control de información relacionada con la actividad inmobiliaria, garantizando orden, accesibilidad y rapidez en la gestión de datos.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Georgia" w:cs="Georgia" w:eastAsia="Georgia" w:hAnsi="Georgia"/>
          <w:b w:val="1"/>
          <w:color w:val="78556e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Objetivos específicos: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Centralizar en un único sistema la información de inquilinos, propiedades, contratos y pagos.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Reducir errores en la gestión mediante validaciones y controles.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Generar reportes internos que permitan conocer el estado de pagos y ocupación de propiedades.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Mantener un historial actualizado de transacciones y contratos.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Facilitar la consulta y exportación de datos para fines administrativos.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Georgia" w:cs="Georgia" w:eastAsia="Georgia" w:hAnsi="Georgia"/>
          <w:b w:val="1"/>
          <w:color w:val="78556e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Funcionalidades principales: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Gestión de inquilinos</w:t>
      </w:r>
      <w:r w:rsidDel="00000000" w:rsidR="00000000" w:rsidRPr="00000000">
        <w:rPr>
          <w:rFonts w:ascii="Georgia" w:cs="Georgia" w:eastAsia="Georgia" w:hAnsi="Georgia"/>
          <w:color w:val="78556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alta, baja, modificación y búsqueda por nombre o DNI.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Gestión de propiedades</w:t>
      </w:r>
      <w:r w:rsidDel="00000000" w:rsidR="00000000" w:rsidRPr="00000000">
        <w:rPr>
          <w:rFonts w:ascii="Georgia" w:cs="Georgia" w:eastAsia="Georgia" w:hAnsi="Georgia"/>
          <w:color w:val="78556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alta, baja, modificación y búsqueda por dirección o tipo.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Asignación de propiedades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 inquilinos mediante contratos; se registrará la fecha y el monto del alquiler.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Registro de pagos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asociados a contratos, con control de fecha y monto.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78556e"/>
          <w:sz w:val="26"/>
          <w:szCs w:val="26"/>
          <w:rtl w:val="0"/>
        </w:rPr>
        <w:t xml:space="preserve">Reportes</w:t>
      </w:r>
      <w:r w:rsidDel="00000000" w:rsidR="00000000" w:rsidRPr="00000000">
        <w:rPr>
          <w:rFonts w:ascii="Georgia" w:cs="Georgia" w:eastAsia="Georgia" w:hAnsi="Georgia"/>
          <w:color w:val="78556e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Inquilinos con pagos pendientes.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Propiedades disponibles.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Resumen de pagos en un período.</w:t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5529263</wp:posOffset>
          </wp:positionH>
          <wp:positionV relativeFrom="paragraph">
            <wp:posOffset>-342899</wp:posOffset>
          </wp:positionV>
          <wp:extent cx="862013" cy="862013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2013" cy="8620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78556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78556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78556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