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empleado del Banco de Alimentos, el administrador le ha enviado un email con sus credenciales de acceso que son: email = “empleado1@gmail.com” y contraseña = “1234”. Realice las siguientes tareas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1 - Modifique su contraseña → “12345678”.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“admin@gmail.com” y contraseña = “123456”. Realice la siguiente tarea: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2 - Agregue un empleado llamado “Juan Perez”, con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