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Tarea 1: Ingresar al sitio e iniciar sesión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segundos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Tarea 2: Agregar un empleado llamado “Pablo Perez”, con email pablop@gmail.com, contraseña: 12345, dni: 22536678 y teléfono 2345789670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“Agregar usuario”.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segundos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presentados en el registro.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Guardar cambios realizados.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segundo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Tarea 3: Cambiar contraseña con “12345678”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“Cambiar contraseña”.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segundos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presentes.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botón “Guardar”.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segudnos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UJ+mT2mZTIKRBliONlaG9/GGjg==">AMUW2mU14yo7fL7JoUEbdE/REHFSHks/ovhaBBzSgS58tXyiuw/8Qdn+cBA+963ebWpHGzeoOvB/nHAPTEGv97pHuE09qt2aL7Kmgo7ySY5cMOZ6Zyxt66djKJJNH46fFPUw5WwIEhmqdOy6jJVsiZuaONjAi26iHR4dcZcaHpfigs6mWZT3/jI=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