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pertenece a la organización Creando Lazos.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Unirse al banco.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Aceptar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Ingresar al sitio con el usuario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” con contraseña “123456”.</w:t>
        <w:br w:type="textWrapping"/>
        <w:t xml:space="preserve">2 - Aceptar la nueva organización.</w:t>
        <w:br w:type="textWrapping"/>
        <w:t xml:space="preserve">3 - Cerrar sesión.</w:t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.Puntuación SUS: 90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heFd4nPLaOMSobVRjNXZjq5cg==">AMUW2mUY748wA3m5WQZ0Hygt8UG5aPv2yp+UTwDZnfNAUO5Fghil30LhVlb8dpABb4Ny9CCr5HJ24AYsu+DqsmK9YAL0HcI6yZ7S8e0qt4uDjXTD0WnnG2Oup8zq0wQv4CfnRBYw+E+xa1Nsw1kvVRrtjs3LXuV0nw==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