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y apellido: Dolores (Banco alimentario)</w:t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Tarea 2:  Solicitar 5 combos del “Combo 3” para el día 26/11 a las 14 hs.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“Solicitar combo”.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combo.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“Aceptar”.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Seleccionar día.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Seleccionar horario.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Tarea 3:  Chequear solicitudes y mostrar solicitud de combos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“Pedidos”.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“Ver 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heading=h.2hn7h8hux1lf" w:id="5"/>
      <w:bookmarkEnd w:id="5"/>
      <w:r w:rsidDel="00000000" w:rsidR="00000000" w:rsidRPr="00000000">
        <w:rPr>
          <w:rtl w:val="0"/>
        </w:rPr>
        <w:t xml:space="preserve">Tarea 4:  Exportar PDF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“Exportar PDF”.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Abrir PDF.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AD5gxPWf7VUkrXaob+ne+wDbg==">AMUW2mW36dvpzuj6LXe8C1ggA2h4q4kt/XFvdwahAsuwp/q3o2oNAJyWNfCzBIF1G5Keyo+BVLpmr3K5RMyfwz9zMmLGAB+ICU6vJlSNNp5s1bxTKXxSIa1SvDbXGzev/dFSn9f7gZyGDhxKmm78SxUq+N6ThQ2UsQjaL+dvxIo7ITQz/s77VGEQj4cOXtCAdppW3QPfSzle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