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Banco Alimentario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Tareas a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Suponga que aceptaron el registro de su organización y tiene las credenciales de acceso que son: email = “organizacion1@gmail.com” y contraseña = “123456789”. Realice las siguientes tareas: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1 - Ingrese al sitio e inicie sesión.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2 - Solicite 5 combos del “Combo 3” para el día 26/12 a las 12 hs.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Puntuación SUS: 85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3Lm+TWfQy8VLI36mwAGzLWyGDQ==">AMUW2mUH4y0tHIKObPLeRXrO9GOo5Aethhp1NC0iI0doXng1qv6sCc+olZXddWZ2Hy8c4TQi341tWozyTrtzPOd9uEtBfTE4LO4onM0ugC0lPXoHF6gwdK3edKNN4Ucgtr/19Wn34ZL3NjRDujAyBrCrDuxgVvBK9Q==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