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6.0" w:type="dxa"/>
        <w:jc w:val="center"/>
        <w:tblLayout w:type="fixed"/>
        <w:tblLook w:val="0000"/>
      </w:tblPr>
      <w:tblGrid>
        <w:gridCol w:w="3615"/>
        <w:gridCol w:w="1320"/>
        <w:gridCol w:w="1437"/>
        <w:gridCol w:w="4054"/>
        <w:tblGridChange w:id="0">
          <w:tblGrid>
            <w:gridCol w:w="3615"/>
            <w:gridCol w:w="1320"/>
            <w:gridCol w:w="1437"/>
            <w:gridCol w:w="4054"/>
          </w:tblGrid>
        </w:tblGridChange>
      </w:tblGrid>
      <w:tr>
        <w:trPr>
          <w:cantSplit w:val="0"/>
          <w:trHeight w:val="1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COBERTURA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AFILIADO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SOBRE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AMBULATORIOS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VADEMECUM AMBULATORIO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HIPOGLUCEMIANTES ORALES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(*1)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70%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MANUAL FARMACEUTICO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CRONICIDAD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(*1)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40% - 70%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60% - 30%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VADEMECUM CRONICIDAD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PLAN MATERNO INFANTIL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(*1)(*2)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-----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VADEMECUM AMBULATORIO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DISCAPACIDAD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(*1)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-----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MANUAL FARMACEUTICO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INSULINAS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(*1)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-----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MANUAL FARMACEUTICO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sz w:val="16"/>
          <w:szCs w:val="16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737" w:top="454" w:left="851" w:right="567" w:header="567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89.0" w:type="dxa"/>
        <w:jc w:val="left"/>
        <w:tblInd w:w="85.0" w:type="dxa"/>
        <w:tblLayout w:type="fixed"/>
        <w:tblLook w:val="0000"/>
      </w:tblPr>
      <w:tblGrid>
        <w:gridCol w:w="5089"/>
        <w:tblGridChange w:id="0">
          <w:tblGrid>
            <w:gridCol w:w="50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CREDENCIAL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Definitiva: SI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Provisoria: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DOCUMENTO DE IDENTIDAD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 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TIPO DE RECETARIO (*3)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Oficial: 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Entidades y Médicos de Cartilla: SI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Hospital Público Nacional, Provincial y/o Municipal: 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VALIDEZ DE LA RECETA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  30 (treinta) días corridos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PSICOFARMACOS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Duplicado: SI            Fotocopia: 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ACLARACION FIRMA MEDICO Y Nº MATR.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Con sello: SI                 Manuscrito: 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ACLARACION CANTIDAD DE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Letras y números: 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LIMITACIONES CANTIDAD Y TAMAÑO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144"/>
                <w:tab w:val="left" w:pos="482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Hasta dos (2) especialidades por receta de distinta o igual marca pero de distinta vía de administración y hasta un (1) envase por especialidad.</w:t>
            </w:r>
          </w:p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Si no indica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 El menor.</w:t>
            </w:r>
          </w:p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Si indica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“GRANDE”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 El siguiente al menor.</w:t>
            </w:r>
          </w:p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Si erra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 El inmediato inferior al indicado.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- Antibióticos inyectables monodosis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 Hasta cinco  </w:t>
            </w:r>
          </w:p>
          <w:p w:rsidR="00000000" w:rsidDel="00000000" w:rsidP="00000000" w:rsidRDefault="00000000" w:rsidRPr="00000000" w14:paraId="0000004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  (5) unidades.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- Antibióticos inyectables multidosis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 Hasta una </w:t>
            </w:r>
          </w:p>
          <w:p w:rsidR="00000000" w:rsidDel="00000000" w:rsidP="00000000" w:rsidRDefault="00000000" w:rsidRPr="00000000" w14:paraId="0000004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  (1)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ESPECIALIDADES EXCLUIDAS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142"/>
              </w:tabs>
              <w:ind w:right="-74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Principios activos, formas farmacéuticas, presen-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144"/>
              </w:tabs>
              <w:ind w:right="-74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taciones y medicamentos que no figuren en vade-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mécum y las siguientes especialidades: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360" w:hanging="360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ALBUMINA SERICA HUMANA Y EXPANSORES PLASMATICOS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ANESTESICOS, REGIONALES Y CENTRALES, YA SEA EN FORMAS INYECTABLES O INHALATORIAS; INDUCTORES DE LA ANESTESIA, RELAJANTES MUSCULARES INYECTABLES DE USO EN ANESTESIA GENERAL, HIPNOTICOS INYECTABLES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ANOREXIGENOS, OREXIGENOS, ANTICELULITICOS, REDUCTORES DE LA ABSORCION DE LIPIDOS (Tipo ORLISTAT), REDUCTORES DE ADIPOSIDADES (Tipo TRIAC)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ANTITABAQUICOS EN CHICLES. ANTITABAQUICOS EN FORMA DE PARCHES DE ABSORCION TRANSDERMICOS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ESTREPTOQUINASAS, AUTOVACUNAS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GONADOTROFINA CORIONICA y todas aquellas hormonas prescriptas para tratamiento de la esterilidad masculina-femenina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HEPARINAS DE BAJO PESO MOLECULAR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HERBORISTERIA, HOMEOPATIA, PRODUCTOS CON GINSENG, PRODUCTOS DE PROPAGANDA POPULAR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LECHES MATERNIZADAS Y ENTERAS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MATERIAL DESCARTABLE (termómetros, cánulas, sondas, agua oxigenada, jeringas, etc)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MATERIALES DE CURACION EN GENERAL (alcohol, vendas, gasas, soluciones antisépticas)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MEDICACION ONCOLOGICA; Antieméticos para oncología (ondansetrón y derivados), Analgésicos oncológicos (morfina, nalbufina, fentanillo, metadona, oxicodona, etc), Eritropoyetina-Inmunosupresores para post-trasplantados, Insuf. renal crónica, Hemofilia, Sida, Hormonas de crecimiento, Enfermedad fibroquísticas del páncreas, Esclerosis múltiple, Esclerosis lateral amiotrófica, Hepatitis crónica, Enfermedades desmielinizantes, Mal de Gaucher, Interferones.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PASTAS Y POLVOS DENTIFRICOS O ELEMENTOS FIJADORES DE </w:t>
            </w:r>
          </w:p>
          <w:p w:rsidR="00000000" w:rsidDel="00000000" w:rsidP="00000000" w:rsidRDefault="00000000" w:rsidRPr="00000000" w14:paraId="00000055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firstLine="0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PROTESIS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PRESENTACIONES PARENTERALES.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PRODUCTOS COSMETICOS (jabones, champúes, cremas restauradoras, hemolientes, humectantes, nutritivas, protectoras, hidratantes, bronceadores, anticelulíticas, antialopécicos, etc), NO MEDICAMENTOSOS.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PRODUCTOS DIETETICOS Y ALIMENTICIOS: edulcorantes y/o sucedáneos del azucar, sales de mesa modificadas, complementos alimenticios tanto en polvos como en soluciones orales y parenterales y complementos dietarios.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PRODUCTOS PARA EL TRATAMIENTO DE LA DISFUNCION SEXUAL MASCULINA (Ej. Sildenafil, Lumix, Vimax, Viagra)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RECETAS O PREPARADOS MAGISTRALES Y OFICINALES; SOLUCIONES PARENTERALES, SOLUCIONES DE USO EN CONTACTOLOGIA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SOLVENTES INDOLOROS QUE NO SEAN DE VENTA BAJO RECETA Y/O QUE NO TENGAN TROQUEL O CODIGO DE BARRAS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TODO MEDICAMENTO SIN SU CORRESPONDIENTE TROQUEL CON CODIGO DE BARRAS INCLUIDO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TODO PRODUCTO QUE, AUN CUANDO TENGA USO AMBULATORIO, SU PRESCRIPCION SE ORIGINE EN EL SUPUESTO DE INTERNACION CLINICA O QUIRURGICA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TOXINA BOTULINICA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VACUNAS [EXCEPTO LA VACUNA ANTITETANICA Y TOXOIDE TETANICO + INMUNOGLOBULINA (SUERO Y VACUNA)]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ind w:left="57" w:hanging="57"/>
              <w:jc w:val="both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  <w:rtl w:val="0"/>
              </w:rPr>
              <w:t xml:space="preserve">VENTA LIBRE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AUTORIZACIONES: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 Ver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(*4)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ENMIENDAS SALVADAS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529"/>
                <w:tab w:val="left" w:pos="5904"/>
                <w:tab w:val="left" w:pos="6624"/>
              </w:tabs>
              <w:ind w:right="70"/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Por el médico:  SI (errores de prescripción)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Por el afiliado: SI (errores de expendio)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Por el farmacéutico: SI (errores de datos filiatorios)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(*5)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PRESENTACION (*6)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FACTURACION Y REFACTURACION: </w:t>
            </w: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Ver normas </w:t>
            </w:r>
          </w:p>
          <w:p w:rsidR="00000000" w:rsidDel="00000000" w:rsidP="00000000" w:rsidRDefault="00000000" w:rsidRPr="00000000" w14:paraId="0000006C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generales de atención y presentación.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737" w:top="454" w:left="851" w:right="567" w:header="567" w:footer="680"/>
          <w:pgNumType w:start="1"/>
          <w:cols w:equalWidth="0" w:num="2">
            <w:col w:space="284" w:w="5102.500000000001"/>
            <w:col w:space="0" w:w="5102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638290" cy="1270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855" y="3780000"/>
                          <a:ext cx="66382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638290" cy="12700"/>
                <wp:effectExtent b="0" l="0" r="0" t="0"/>
                <wp:wrapNone/>
                <wp:docPr id="10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2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6572250" cy="869136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75750" y="3477740"/>
                          <a:ext cx="6540500" cy="60452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Toda receta y/o prescripción médica u odontológica debe efectuarse expresando el nombre genérico del medicamento o Denominación Común Internacional que se indique, seguida de forma farmacéutica, cantidad de unidades por envase y concentración.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6572250" cy="869136"/>
                <wp:effectExtent b="0" l="0" r="0" t="0"/>
                <wp:wrapNone/>
                <wp:docPr id="10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8691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0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09"/>
        <w:tblGridChange w:id="0">
          <w:tblGrid>
            <w:gridCol w:w="7709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7">
            <w:pPr>
              <w:ind w:right="70"/>
              <w:jc w:val="both"/>
              <w:rPr>
                <w:rFonts w:ascii="Century Gothic" w:cs="Century Gothic" w:eastAsia="Century Gothic" w:hAnsi="Century Gothic"/>
                <w:b w:val="0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vertAlign w:val="baseline"/>
                <w:rtl w:val="0"/>
              </w:rPr>
              <w:t xml:space="preserve">(*1) CRONICIDAD, HIPOGLUCEMIANTES ORALES, INSULINAS Y  DISCAPACIDAD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La receta se deberá encontrar previamente </w:t>
      </w: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autorizada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 por </w:t>
      </w: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ASSISTENCIAL SALUD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0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8"/>
        <w:tblGridChange w:id="0">
          <w:tblGrid>
            <w:gridCol w:w="310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529"/>
                <w:tab w:val="left" w:pos="5904"/>
                <w:tab w:val="left" w:pos="6624"/>
              </w:tabs>
              <w:jc w:val="both"/>
              <w:rPr>
                <w:rFonts w:ascii="Century Gothic" w:cs="Century Gothic" w:eastAsia="Century Gothic" w:hAnsi="Century Gothic"/>
                <w:b w:val="0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vertAlign w:val="baseline"/>
                <w:rtl w:val="0"/>
              </w:rPr>
              <w:t xml:space="preserve">(*2) PLAN MATERNO INFANTIL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- La receta deberá contar con la leyenda “PLAN MATERNO INFANTIL” de puño y letra del profesional prescribiente.</w:t>
      </w:r>
    </w:p>
    <w:p w:rsidR="00000000" w:rsidDel="00000000" w:rsidP="00000000" w:rsidRDefault="00000000" w:rsidRPr="00000000" w14:paraId="0000007F">
      <w:pPr>
        <w:tabs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- Período de cobertura: - </w:t>
      </w: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Para la MADRE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: Durante el embarazo y hasta 30 días posteriores al parto.</w:t>
      </w:r>
    </w:p>
    <w:p w:rsidR="00000000" w:rsidDel="00000000" w:rsidP="00000000" w:rsidRDefault="00000000" w:rsidRPr="00000000" w14:paraId="0000008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                                      - </w:t>
      </w: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Para el NIÑO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: Hasta el primer (1er.) año de vida.</w:t>
      </w:r>
    </w:p>
    <w:p w:rsidR="00000000" w:rsidDel="00000000" w:rsidP="00000000" w:rsidRDefault="00000000" w:rsidRPr="00000000" w14:paraId="0000008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- Se deberán expender únicamente medicamentos concernientes al PLAN MATERNO INFANTIL.</w:t>
      </w:r>
    </w:p>
    <w:p w:rsidR="00000000" w:rsidDel="00000000" w:rsidP="00000000" w:rsidRDefault="00000000" w:rsidRPr="00000000" w14:paraId="0000008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529"/>
          <w:tab w:val="left" w:pos="5904"/>
          <w:tab w:val="left" w:pos="6624"/>
        </w:tabs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38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4"/>
        <w:tblGridChange w:id="0">
          <w:tblGrid>
            <w:gridCol w:w="338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b w:val="0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vertAlign w:val="baseline"/>
                <w:rtl w:val="0"/>
              </w:rPr>
              <w:t xml:space="preserve">(*3) REQUISITOS DE LAS RECETAS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- Recetario de Entidades de cartilla: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 verificar que la Entidad pertenezca a la cartilla, independientemente que el médico figure o no.</w:t>
      </w:r>
    </w:p>
    <w:p w:rsidR="00000000" w:rsidDel="00000000" w:rsidP="00000000" w:rsidRDefault="00000000" w:rsidRPr="00000000" w14:paraId="0000008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- Recetario de Médicos: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 verificar que el médico pertenezca a la cartilla de prestadores.</w:t>
      </w:r>
    </w:p>
    <w:p w:rsidR="00000000" w:rsidDel="00000000" w:rsidP="00000000" w:rsidRDefault="00000000" w:rsidRPr="00000000" w14:paraId="0000008B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- Recetario de Hospital Público Nacional, Provincial y/o Municipal: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 prescripto por cualquier médico.</w:t>
      </w:r>
    </w:p>
    <w:p w:rsidR="00000000" w:rsidDel="00000000" w:rsidP="00000000" w:rsidRDefault="00000000" w:rsidRPr="00000000" w14:paraId="0000008D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Datos a completar por el profesional, de su puño y letra y con la misma tinta: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069" w:right="68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Denominación de la entidad.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069" w:right="68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Nombre y apellido del beneficiario.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069" w:right="68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Número de beneficiario.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069" w:right="68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Medicamentos recetados y cantidad de cada uno.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069" w:right="68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Firma y sello con número de matrícula y aclaración.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1069" w:right="68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Diagnóstico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069" w:right="68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Fecha de prescripción.</w:t>
      </w:r>
    </w:p>
    <w:p w:rsidR="00000000" w:rsidDel="00000000" w:rsidP="00000000" w:rsidRDefault="00000000" w:rsidRPr="00000000" w14:paraId="00000097">
      <w:pPr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7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417" w:right="70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Datos a completar por la farmacia: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1069" w:right="70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Fecha de venta.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069" w:right="70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Importes unitarios, a cargo del beneficiario, a cargo de la Entidad, totales.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069" w:right="70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Sello y firma de la farmacia.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069" w:right="70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Firma y aclaración y número de documento de quien retira los medicamentos.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069" w:right="70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Troqueles adheridos sin utilizar ganchos, cinta adhesiva, ni goma de pegar, o la sigla “S/T” si correspondiera.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069" w:right="70" w:hanging="36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Los troqueles deberán encontrarse en perfecto estado y sin signos de uso previo (perforaciones, evidencia o marca de sustancias adhesivas); sin signos de desgaste del material (en todo o parte del troquel) o del color de la impresión; sin impresiones gomígrafas mediante sellos de cualquier tipo o leyendas legibles o no; sin diferencias en tamaño, grosor y/o color del troquel, para un mismo producto, presentación y lote; no deberán presentar cualquier otro signo que otorgue carácter dudoso del troquel.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4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0"/>
        <w:tblGridChange w:id="0">
          <w:tblGrid>
            <w:gridCol w:w="24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b w:val="0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vertAlign w:val="baseline"/>
                <w:rtl w:val="0"/>
              </w:rPr>
              <w:t xml:space="preserve">(*4)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ffffff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vertAlign w:val="baseline"/>
                <w:rtl w:val="0"/>
              </w:rPr>
              <w:t xml:space="preserve">AUTORIZACIONES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Century Gothic" w:cs="Century Gothic" w:eastAsia="Century Gothic" w:hAnsi="Century Gothic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Cualquier excepción a la presente norma deberá contar con la autorización de </w:t>
      </w: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ASSISTENCIAL SALUD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. Las autorizaciones se podrán encontrar al dorso de las recetas, acompañando a las mismas o remitidas vía fax o email, en los últimos dos casos se deberán adjuntar a la receta para su posterior facturación.</w:t>
      </w:r>
    </w:p>
    <w:p w:rsidR="00000000" w:rsidDel="00000000" w:rsidP="00000000" w:rsidRDefault="00000000" w:rsidRPr="00000000" w14:paraId="000000A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9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6"/>
        <w:tblGridChange w:id="0">
          <w:tblGrid>
            <w:gridCol w:w="19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Century Gothic" w:cs="Century Gothic" w:eastAsia="Century Gothic" w:hAnsi="Century Gothic"/>
                <w:b w:val="0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vertAlign w:val="baseline"/>
                <w:rtl w:val="0"/>
              </w:rPr>
              <w:t xml:space="preserve">(*5)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ffffff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vertAlign w:val="baseline"/>
                <w:rtl w:val="0"/>
              </w:rPr>
              <w:t xml:space="preserve">ENMIENDAS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rFonts w:ascii="Century Gothic" w:cs="Century Gothic" w:eastAsia="Century Gothic" w:hAnsi="Century Gothic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El farmacéutico deberá enmendar todos aquellos datos de afiliación que el profesional haya transcripto en forma errónea en la receta, salvándolos al dorso de la misma, con su firma, sello y firma del afiliado dando su conformidad, únicamente se podrán enmendar datos, </w:t>
      </w: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 xml:space="preserve"> completar datos faltantes.</w:t>
      </w:r>
    </w:p>
    <w:p w:rsidR="00000000" w:rsidDel="00000000" w:rsidP="00000000" w:rsidRDefault="00000000" w:rsidRPr="00000000" w14:paraId="000000A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left="426" w:firstLine="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ind w:left="426" w:firstLine="0"/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38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8"/>
        <w:tblGridChange w:id="0">
          <w:tblGrid>
            <w:gridCol w:w="238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(*6) PRESENTACIONES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facturaciones se deberán presentar en lotes por separado conforme el siguiente esquema: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864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40% AMBULATORIOS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864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70% HIPOGLUCEMIANTES ORALES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864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40% CRONICIDAD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864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70% CRONICIDAD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864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100% PLAN MATERNO INFANTIL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864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100% DISCAPACIDAD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864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100% INSULINAS</w:t>
      </w:r>
    </w:p>
    <w:p w:rsidR="00000000" w:rsidDel="00000000" w:rsidP="00000000" w:rsidRDefault="00000000" w:rsidRPr="00000000" w14:paraId="000000B6">
      <w:pPr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6553200" cy="64770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88450" y="3475200"/>
                          <a:ext cx="6515100" cy="6096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6553200" cy="647700"/>
                <wp:effectExtent b="0" l="0" r="0" t="0"/>
                <wp:wrapNone/>
                <wp:docPr id="10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jc w:val="both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    MUY IMPORTANTE: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TODO LO NO ESTABLECIDO EN LAS PRESENTES NORMAS OPERATIVAS ESPECIALES SE RIGE POR LAS NORMAS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GENERALES DE ATENCION Y PRESENTACION ENTREGADAS OPORTUNAMENTE.</w:t>
      </w:r>
    </w:p>
    <w:p w:rsidR="00000000" w:rsidDel="00000000" w:rsidP="00000000" w:rsidRDefault="00000000" w:rsidRPr="00000000" w14:paraId="000000BB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MODELO DE CREDENCIAL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Century Gothic" w:cs="Century Gothic" w:eastAsia="Century Gothic" w:hAnsi="Century Gothic"/>
          <w:b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</w:rPr>
        <w:drawing>
          <wp:inline distB="0" distT="0" distL="114300" distR="114300">
            <wp:extent cx="3273425" cy="2126615"/>
            <wp:effectExtent b="0" l="0" r="0" 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212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2895"/>
        </w:tabs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vertAlign w:val="baseline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1744345</wp:posOffset>
            </wp:positionH>
            <wp:positionV relativeFrom="paragraph">
              <wp:posOffset>47625</wp:posOffset>
            </wp:positionV>
            <wp:extent cx="3200400" cy="2066925"/>
            <wp:effectExtent b="0" l="0" r="0" t="0"/>
            <wp:wrapSquare wrapText="bothSides" distB="0" distT="0" distL="0" distR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40" w:w="11907" w:orient="portrait"/>
      <w:pgMar w:bottom="737" w:top="454" w:left="851" w:right="567" w:header="567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Roman 12cpi"/>
  <w:font w:name="Noto Sans Symbols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man 12cpi" w:cs="Roman 12cpi" w:eastAsia="Roman 12cpi" w:hAnsi="Roman 12cp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67500" cy="2857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2250" y="3780000"/>
                        <a:ext cx="66675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67500" cy="28575"/>
              <wp:effectExtent b="0" l="0" r="0" t="0"/>
              <wp:wrapNone/>
              <wp:docPr id="102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75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0"/>
      <w:tblW w:w="10400.0" w:type="dxa"/>
      <w:jc w:val="left"/>
      <w:tblInd w:w="70.0" w:type="pct"/>
      <w:tblLayout w:type="fixed"/>
      <w:tblLook w:val="0000"/>
    </w:tblPr>
    <w:tblGrid>
      <w:gridCol w:w="5244"/>
      <w:gridCol w:w="5156"/>
      <w:tblGridChange w:id="0">
        <w:tblGrid>
          <w:gridCol w:w="5244"/>
          <w:gridCol w:w="515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ASSISTENCIAL SALUD  –  NORMAS AMBULATORIOS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man 12cpi" w:cs="Roman 12cpi" w:eastAsia="Roman 12cpi" w:hAnsi="Roman 12cp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man 12cpi" w:cs="Roman 12cpi" w:eastAsia="Roman 12cpi" w:hAnsi="Roman 12cp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man 12cpi" w:cs="Roman 12cpi" w:eastAsia="Roman 12cpi" w:hAnsi="Roman 12cp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man 12cpi" w:cs="Roman 12cpi" w:eastAsia="Roman 12cpi" w:hAnsi="Roman 12cp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man 12cpi" w:cs="Roman 12cpi" w:eastAsia="Roman 12cpi" w:hAnsi="Roman 12cp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5387.0" w:type="dxa"/>
      <w:jc w:val="left"/>
      <w:tblInd w:w="70.0" w:type="pct"/>
      <w:tblLayout w:type="fixed"/>
      <w:tblLook w:val="0000"/>
    </w:tblPr>
    <w:tblGrid>
      <w:gridCol w:w="5387"/>
      <w:tblGridChange w:id="0">
        <w:tblGrid>
          <w:gridCol w:w="5387"/>
        </w:tblGrid>
      </w:tblGridChange>
    </w:tblGrid>
    <w:tr>
      <w:trPr>
        <w:cantSplit w:val="0"/>
        <w:trHeight w:val="579" w:hRule="atLeast"/>
        <w:tblHeader w:val="0"/>
      </w:trP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D0">
          <w:pPr>
            <w:tabs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</w:tabs>
            <w:rPr>
              <w:rFonts w:ascii="Century Gothic" w:cs="Century Gothic" w:eastAsia="Century Gothic" w:hAnsi="Century Gothic"/>
              <w:b w:val="0"/>
              <w:i w:val="0"/>
              <w:sz w:val="44"/>
              <w:szCs w:val="44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1"/>
              <w:sz w:val="44"/>
              <w:szCs w:val="44"/>
              <w:vertAlign w:val="baseline"/>
              <w:rtl w:val="0"/>
            </w:rPr>
            <w:t xml:space="preserve">ASSISTENCIAL SALUD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3853180</wp:posOffset>
                </wp:positionH>
                <wp:positionV relativeFrom="paragraph">
                  <wp:posOffset>-191134</wp:posOffset>
                </wp:positionV>
                <wp:extent cx="2769870" cy="942975"/>
                <wp:effectExtent b="0" l="0" r="0" t="0"/>
                <wp:wrapSquare wrapText="bothSides" distB="0" distT="0" distL="0" distR="0"/>
                <wp:docPr id="103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87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579" w:hRule="atLeast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D1">
          <w:pPr>
            <w:tabs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</w:tabs>
            <w:rPr>
              <w:rFonts w:ascii="Century Gothic" w:cs="Century Gothic" w:eastAsia="Century Gothic" w:hAnsi="Century Gothic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jc w:val="both"/>
      <w:rPr>
        <w:rFonts w:ascii="Century Gothic" w:cs="Century Gothic" w:eastAsia="Century Gothic" w:hAnsi="Century Gothic"/>
        <w:b w:val="0"/>
        <w:i w:val="0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8"/>
        <w:szCs w:val="18"/>
        <w:vertAlign w:val="baseline"/>
        <w:rtl w:val="0"/>
      </w:rPr>
      <w:t xml:space="preserve">Norma de Atención Nº:</w:t>
    </w:r>
    <w:r w:rsidDel="00000000" w:rsidR="00000000" w:rsidRPr="00000000">
      <w:rPr>
        <w:rFonts w:ascii="Century Gothic" w:cs="Century Gothic" w:eastAsia="Century Gothic" w:hAnsi="Century Gothic"/>
        <w:b w:val="1"/>
        <w:i w:val="1"/>
        <w:sz w:val="18"/>
        <w:szCs w:val="18"/>
        <w:vertAlign w:val="baseline"/>
        <w:rtl w:val="0"/>
      </w:rPr>
      <w:t xml:space="preserve"> 4954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jc w:val="both"/>
      <w:rPr>
        <w:rFonts w:ascii="Century Gothic" w:cs="Century Gothic" w:eastAsia="Century Gothic" w:hAnsi="Century Gothic"/>
        <w:i w:val="0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8"/>
        <w:szCs w:val="18"/>
        <w:vertAlign w:val="baseline"/>
        <w:rtl w:val="0"/>
      </w:rPr>
      <w:t xml:space="preserve">Vigencia:</w:t>
    </w:r>
    <w:r w:rsidDel="00000000" w:rsidR="00000000" w:rsidRPr="00000000">
      <w:rPr>
        <w:rFonts w:ascii="Century Gothic" w:cs="Century Gothic" w:eastAsia="Century Gothic" w:hAnsi="Century Gothic"/>
        <w:b w:val="1"/>
        <w:i w:val="1"/>
        <w:sz w:val="18"/>
        <w:szCs w:val="18"/>
        <w:vertAlign w:val="baseline"/>
        <w:rtl w:val="0"/>
      </w:rPr>
      <w:t xml:space="preserve"> 01/10/2017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jc w:val="both"/>
      <w:rPr>
        <w:rFonts w:ascii="Century Gothic" w:cs="Century Gothic" w:eastAsia="Century Gothic" w:hAnsi="Century Gothic"/>
        <w:sz w:val="16"/>
        <w:szCs w:val="1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67500" cy="28575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2250" y="3780000"/>
                        <a:ext cx="66675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67500" cy="28575"/>
              <wp:effectExtent b="0" l="0" r="0" t="0"/>
              <wp:wrapNone/>
              <wp:docPr id="102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75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417" w:hanging="360"/>
      </w:pPr>
      <w:rPr>
        <w:rFonts w:ascii="Times New Roman" w:cs="Times New Roman" w:eastAsia="Times New Roman" w:hAnsi="Times New Roman"/>
        <w:b w:val="1"/>
        <w:vertAlign w:val="baseline"/>
      </w:rPr>
    </w:lvl>
    <w:lvl w:ilvl="1">
      <w:start w:val="1"/>
      <w:numFmt w:val="bullet"/>
      <w:lvlText w:val="o"/>
      <w:lvlJc w:val="left"/>
      <w:pPr>
        <w:ind w:left="113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5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7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9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1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3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5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7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4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man 12cpi" w:cs="Roman 12cpi" w:eastAsia="Roman 12cpi" w:hAnsi="Roman 12cp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Roman 12cpi" w:hAnsi="Roman 12cpi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144"/>
        <w:tab w:val="left" w:leader="none" w:pos="864"/>
        <w:tab w:val="left" w:leader="none" w:pos="1584"/>
        <w:tab w:val="left" w:leader="none" w:pos="2304"/>
        <w:tab w:val="left" w:leader="none" w:pos="3024"/>
        <w:tab w:val="left" w:leader="none" w:pos="3744"/>
        <w:tab w:val="left" w:leader="none" w:pos="4464"/>
        <w:tab w:val="left" w:leader="none" w:pos="5184"/>
        <w:tab w:val="left" w:leader="none" w:pos="5904"/>
        <w:tab w:val="left" w:leader="none" w:pos="662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color w:val="ff000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tabs>
        <w:tab w:val="left" w:leader="none" w:pos="144"/>
        <w:tab w:val="left" w:leader="none" w:pos="864"/>
        <w:tab w:val="left" w:leader="none" w:pos="1584"/>
        <w:tab w:val="left" w:leader="none" w:pos="2304"/>
        <w:tab w:val="left" w:leader="none" w:pos="3024"/>
        <w:tab w:val="left" w:leader="none" w:pos="3744"/>
        <w:tab w:val="left" w:leader="none" w:pos="4464"/>
        <w:tab w:val="left" w:leader="none" w:pos="5184"/>
        <w:tab w:val="left" w:leader="none" w:pos="5904"/>
        <w:tab w:val="left" w:leader="none" w:pos="662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Arial" w:hAnsi="Arial"/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tabs>
        <w:tab w:val="left" w:leader="none" w:pos="144"/>
        <w:tab w:val="left" w:leader="none" w:pos="864"/>
        <w:tab w:val="left" w:leader="none" w:pos="1584"/>
        <w:tab w:val="left" w:leader="none" w:pos="2304"/>
        <w:tab w:val="left" w:leader="none" w:pos="3024"/>
        <w:tab w:val="left" w:leader="none" w:pos="3744"/>
        <w:tab w:val="left" w:leader="none" w:pos="4464"/>
        <w:tab w:val="left" w:leader="none" w:pos="5184"/>
        <w:tab w:val="left" w:leader="none" w:pos="5904"/>
        <w:tab w:val="left" w:leader="none" w:pos="662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Tahoma" w:cs="Tahoma" w:hAnsi="Tahoma"/>
      <w:b w:val="1"/>
      <w:w w:val="100"/>
      <w:position w:val="-1"/>
      <w:u w:val="words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Roman 12cpi" w:hAnsi="Roman 12cpi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Roman 12cpi" w:hAnsi="Roman 12cpi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Roman 12cpi" w:hAnsi="Roman 12cpi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Sangríadetextonormal"/>
    <w:next w:val="Textoindependiente3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Roman 12cpi" w:hAnsi="Roman 12cpi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Roman 12cpi" w:hAnsi="Roman 12cpi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left" w:leader="none" w:pos="144"/>
        <w:tab w:val="left" w:leader="none" w:pos="864"/>
        <w:tab w:val="left" w:leader="none" w:pos="1584"/>
        <w:tab w:val="left" w:leader="none" w:pos="2304"/>
        <w:tab w:val="left" w:leader="none" w:pos="3024"/>
        <w:tab w:val="left" w:leader="none" w:pos="3744"/>
        <w:tab w:val="left" w:leader="none" w:pos="4464"/>
        <w:tab w:val="left" w:leader="none" w:pos="5184"/>
        <w:tab w:val="left" w:leader="none" w:pos="5904"/>
        <w:tab w:val="left" w:leader="none" w:pos="662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/hjjNXjwPb6Kz07nCIsbzUEGg==">AMUW2mVOEb7uYJ7q7cFnoBibqtQ3jBLG+N/+HXjkETPZCR5+ToNarmfYk6A9HGhYf8xkSIlO13JZBj5nULScxGl9AnA8cjfjy/os54zIeta+D5/GBWSeIiY=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2017-10-03T12:54:00Z</dcterms:created>
  <dc:creator>Sebastián</dc:creator>
</cp:coreProperties>
</file>