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5E5F7" w14:textId="77777777" w:rsidR="000C2668" w:rsidRDefault="00910930">
      <w:pPr>
        <w:pStyle w:val="Ttulo"/>
        <w:spacing w:after="60"/>
      </w:pPr>
      <w:r>
        <w:t>AireLink</w:t>
      </w:r>
    </w:p>
    <w:p w14:paraId="5D03DE64" w14:textId="77777777" w:rsidR="00F44AA3" w:rsidRPr="00F44AA3" w:rsidRDefault="00F44AA3">
      <w:pPr>
        <w:pStyle w:val="Ttulo"/>
        <w:spacing w:after="60"/>
        <w:rPr>
          <w:i/>
          <w:iCs/>
          <w:sz w:val="24"/>
          <w:szCs w:val="24"/>
        </w:rPr>
      </w:pPr>
      <w:r w:rsidRPr="00F44AA3">
        <w:rPr>
          <w:i/>
          <w:iCs/>
          <w:sz w:val="24"/>
          <w:szCs w:val="24"/>
        </w:rPr>
        <w:t xml:space="preserve">Maria Camila Urquijo Martínez </w:t>
      </w:r>
    </w:p>
    <w:p w14:paraId="78777BDD" w14:textId="77777777" w:rsidR="00F44AA3" w:rsidRPr="00F44AA3" w:rsidRDefault="00F44AA3">
      <w:pPr>
        <w:pStyle w:val="Ttulo"/>
        <w:spacing w:after="60"/>
        <w:rPr>
          <w:i/>
          <w:iCs/>
          <w:sz w:val="24"/>
          <w:szCs w:val="24"/>
        </w:rPr>
      </w:pPr>
      <w:r w:rsidRPr="00F44AA3">
        <w:rPr>
          <w:i/>
          <w:iCs/>
          <w:sz w:val="24"/>
          <w:szCs w:val="24"/>
        </w:rPr>
        <w:t xml:space="preserve">Michael David Amezquita Barreto </w:t>
      </w:r>
    </w:p>
    <w:p w14:paraId="1AD7CFD0" w14:textId="77777777" w:rsidR="000C2668" w:rsidRDefault="00910930">
      <w:pPr>
        <w:spacing w:after="60"/>
      </w:pPr>
      <w:r>
        <w:rPr>
          <w:i/>
          <w:iCs/>
          <w:sz w:val="24"/>
          <w:szCs w:val="24"/>
        </w:rPr>
        <w:t>Propuesta inicial de arquitectura IoT — Estación Inteligente de Calidad del Aire</w:t>
      </w:r>
    </w:p>
    <w:p w14:paraId="644C2239" w14:textId="77777777" w:rsidR="000C2668" w:rsidRDefault="00910930">
      <w:pPr>
        <w:spacing w:after="300"/>
      </w:pPr>
      <w:r>
        <w:rPr>
          <w:color w:val="666666"/>
        </w:rPr>
        <w:t>Ejercicio 5 — Grupo 11</w:t>
      </w:r>
    </w:p>
    <w:p w14:paraId="57C9BF5E" w14:textId="77777777" w:rsidR="000C2668" w:rsidRPr="007D5704" w:rsidRDefault="00910930">
      <w:pPr>
        <w:pStyle w:val="Ttulo1"/>
        <w:spacing w:before="300" w:after="150"/>
        <w:rPr>
          <w:rFonts w:ascii="Arial" w:hAnsi="Arial" w:cs="Arial"/>
          <w:b/>
          <w:color w:val="auto"/>
        </w:rPr>
      </w:pPr>
      <w:r w:rsidRPr="007D5704">
        <w:rPr>
          <w:rFonts w:ascii="Arial" w:hAnsi="Arial" w:cs="Arial"/>
          <w:b/>
          <w:color w:val="auto"/>
        </w:rPr>
        <w:t>1. Caso de uso</w:t>
      </w:r>
    </w:p>
    <w:p w14:paraId="71BF711B" w14:textId="77777777" w:rsidR="000C2668" w:rsidRPr="007D5704" w:rsidRDefault="00910930">
      <w:pPr>
        <w:spacing w:after="120"/>
        <w:rPr>
          <w:sz w:val="22"/>
          <w:szCs w:val="22"/>
        </w:rPr>
      </w:pPr>
      <w:r w:rsidRPr="007D5704">
        <w:rPr>
          <w:sz w:val="22"/>
          <w:szCs w:val="22"/>
        </w:rPr>
        <w:t xml:space="preserve">AireLink es una estación inteligente de calidad del aire pensada para desplegarse en puntos urbanos (parques, vías principales, campus universitarios, zonas industriales cercanas a viviendas). Su objetivo es monitorear en tiempo real variables ambientales </w:t>
      </w:r>
      <w:r w:rsidRPr="007D5704">
        <w:rPr>
          <w:sz w:val="22"/>
          <w:szCs w:val="22"/>
        </w:rPr>
        <w:t>clave —material particulado (PM2.5/PM10), CO2, temperatura, humedad y ruido— y ofrecer información oportuna a ciudadanos, autoridades ambientales y sistemas de salud pública para la toma de decisiones (por ejemplo, activar alertas cuando el aire alcanza ni</w:t>
      </w:r>
      <w:r w:rsidRPr="007D5704">
        <w:rPr>
          <w:sz w:val="22"/>
          <w:szCs w:val="22"/>
        </w:rPr>
        <w:t>veles no saludables).</w:t>
      </w:r>
    </w:p>
    <w:p w14:paraId="58631198" w14:textId="3B68FCAA" w:rsidR="000C2668" w:rsidRDefault="00910930" w:rsidP="00910930">
      <w:pPr>
        <w:pStyle w:val="Ttulo1"/>
        <w:spacing w:before="300" w:after="150"/>
        <w:jc w:val="center"/>
        <w:rPr>
          <w:rFonts w:ascii="Arial" w:hAnsi="Arial" w:cs="Arial"/>
          <w:b/>
          <w:color w:val="auto"/>
        </w:rPr>
      </w:pPr>
      <w:r w:rsidRPr="007D5704">
        <w:rPr>
          <w:rFonts w:ascii="Arial" w:hAnsi="Arial" w:cs="Arial"/>
          <w:b/>
          <w:color w:val="auto"/>
        </w:rPr>
        <w:t>2. Diagrama</w:t>
      </w:r>
      <w:r w:rsidR="007D5704" w:rsidRPr="007D5704">
        <w:rPr>
          <w:rFonts w:ascii="Arial" w:hAnsi="Arial" w:cs="Arial"/>
          <w:b/>
          <w:color w:val="auto"/>
        </w:rPr>
        <w:t>s</w:t>
      </w:r>
      <w:r w:rsidRPr="007D5704">
        <w:rPr>
          <w:rFonts w:ascii="Arial" w:hAnsi="Arial" w:cs="Arial"/>
          <w:b/>
          <w:color w:val="auto"/>
        </w:rPr>
        <w:t xml:space="preserve"> de la ar</w:t>
      </w:r>
      <w:r w:rsidRPr="007D5704">
        <w:rPr>
          <w:rFonts w:ascii="Arial" w:hAnsi="Arial" w:cs="Arial"/>
          <w:b/>
          <w:color w:val="auto"/>
        </w:rPr>
        <w:t>quitectura</w:t>
      </w:r>
      <w:bookmarkStart w:id="0" w:name="_GoBack"/>
      <w:r>
        <w:rPr>
          <w:rFonts w:ascii="Arial" w:hAnsi="Arial" w:cs="Arial"/>
          <w:b/>
          <w:noProof/>
          <w:color w:val="auto"/>
        </w:rPr>
        <w:drawing>
          <wp:inline distT="0" distB="0" distL="0" distR="0" wp14:anchorId="45B1E8D0" wp14:editId="5443D4B4">
            <wp:extent cx="3429000" cy="4428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29 at 4.46.06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807" cy="44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BA6C690" w14:textId="64C2F899" w:rsidR="007D5704" w:rsidRDefault="007D5704" w:rsidP="007D5704">
      <w:pPr>
        <w:pStyle w:val="Ttulo1"/>
        <w:spacing w:before="300" w:after="150"/>
        <w:jc w:val="center"/>
        <w:rPr>
          <w:rFonts w:ascii="Arial" w:hAnsi="Arial" w:cs="Arial"/>
          <w:b/>
          <w:color w:val="auto"/>
        </w:rPr>
      </w:pPr>
    </w:p>
    <w:p w14:paraId="781C740D" w14:textId="77777777" w:rsidR="007D5704" w:rsidRPr="007D5704" w:rsidRDefault="007D5704" w:rsidP="007D5704">
      <w:pPr>
        <w:spacing w:after="300"/>
        <w:jc w:val="center"/>
      </w:pPr>
      <w:r>
        <w:rPr>
          <w:i/>
          <w:iCs/>
          <w:sz w:val="18"/>
          <w:szCs w:val="18"/>
        </w:rPr>
        <w:t>Figura 1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 xml:space="preserve"> Boceto de </w:t>
      </w:r>
      <w:r>
        <w:rPr>
          <w:i/>
          <w:iCs/>
          <w:sz w:val="18"/>
          <w:szCs w:val="18"/>
        </w:rPr>
        <w:t>Arquitectura concep</w:t>
      </w:r>
      <w:r>
        <w:rPr>
          <w:i/>
          <w:iCs/>
          <w:sz w:val="18"/>
          <w:szCs w:val="18"/>
        </w:rPr>
        <w:t xml:space="preserve">tual de AireLink por capas </w:t>
      </w:r>
      <w:r>
        <w:rPr>
          <w:i/>
          <w:iCs/>
          <w:sz w:val="18"/>
          <w:szCs w:val="18"/>
        </w:rPr>
        <w:t>.</w:t>
      </w:r>
    </w:p>
    <w:p w14:paraId="769D0CBB" w14:textId="77777777" w:rsidR="000C2668" w:rsidRDefault="00910930">
      <w:pPr>
        <w:spacing w:after="120"/>
        <w:jc w:val="center"/>
      </w:pPr>
      <w:r>
        <w:rPr>
          <w:noProof/>
        </w:rPr>
        <w:drawing>
          <wp:inline distT="0" distB="0" distL="0" distR="0" wp14:anchorId="57E47E76" wp14:editId="73D451DA">
            <wp:extent cx="5382975" cy="492442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125" cy="492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6570" w14:textId="77777777" w:rsidR="000C2668" w:rsidRDefault="007D5704">
      <w:pPr>
        <w:spacing w:after="300"/>
        <w:jc w:val="center"/>
      </w:pPr>
      <w:r>
        <w:rPr>
          <w:i/>
          <w:iCs/>
          <w:sz w:val="18"/>
          <w:szCs w:val="18"/>
        </w:rPr>
        <w:t>Figura 2</w:t>
      </w:r>
      <w:r w:rsidR="00910930">
        <w:rPr>
          <w:i/>
          <w:iCs/>
          <w:sz w:val="18"/>
          <w:szCs w:val="18"/>
        </w:rPr>
        <w:t>. Arquitectura conceptual de AireLink por capas (dispositivo, edge, cloud, aplicación).</w:t>
      </w:r>
    </w:p>
    <w:p w14:paraId="178624C6" w14:textId="77777777" w:rsidR="000C2668" w:rsidRPr="007D5704" w:rsidRDefault="00910930">
      <w:pPr>
        <w:pStyle w:val="Ttulo1"/>
        <w:spacing w:before="300" w:after="150"/>
        <w:rPr>
          <w:rFonts w:ascii="Arial" w:hAnsi="Arial" w:cs="Arial"/>
          <w:b/>
          <w:color w:val="auto"/>
        </w:rPr>
      </w:pPr>
      <w:r w:rsidRPr="007D5704">
        <w:rPr>
          <w:rFonts w:ascii="Arial" w:hAnsi="Arial" w:cs="Arial"/>
          <w:b/>
          <w:color w:val="auto"/>
        </w:rPr>
        <w:t>3. Elementos principales por capa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3600"/>
      </w:tblGrid>
      <w:tr w:rsidR="000C2668" w14:paraId="535DD7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9F9"/>
          </w:tcPr>
          <w:p w14:paraId="103D846B" w14:textId="77777777" w:rsidR="000C2668" w:rsidRDefault="00910930"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apa</w:t>
            </w:r>
          </w:p>
        </w:tc>
        <w:tc>
          <w:tcPr>
            <w:tcW w:w="3600" w:type="dxa"/>
            <w:shd w:val="clear" w:color="auto" w:fill="DCE9F9"/>
          </w:tcPr>
          <w:p w14:paraId="230DC81A" w14:textId="77777777" w:rsidR="000C2668" w:rsidRDefault="00910930">
            <w:r>
              <w:rPr>
                <w:b/>
                <w:bCs/>
              </w:rPr>
              <w:t>Elementos principales</w:t>
            </w:r>
          </w:p>
        </w:tc>
        <w:tc>
          <w:tcPr>
            <w:tcW w:w="3600" w:type="dxa"/>
            <w:shd w:val="clear" w:color="auto" w:fill="DCE9F9"/>
          </w:tcPr>
          <w:p w14:paraId="62C24F01" w14:textId="77777777" w:rsidR="000C2668" w:rsidRDefault="00910930">
            <w:r>
              <w:rPr>
                <w:b/>
                <w:bCs/>
              </w:rPr>
              <w:t>Qué se procesa allí</w:t>
            </w:r>
          </w:p>
        </w:tc>
      </w:tr>
      <w:tr w:rsidR="000C2668" w14:paraId="2A6081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211859D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lastRenderedPageBreak/>
              <w:t>Dispositivo</w:t>
            </w:r>
          </w:p>
        </w:tc>
        <w:tc>
          <w:tcPr>
            <w:tcW w:w="3600" w:type="dxa"/>
          </w:tcPr>
          <w:p w14:paraId="053FC655" w14:textId="77777777" w:rsidR="000C2668" w:rsidRPr="007D5704" w:rsidRDefault="00910930" w:rsidP="007D5704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Sensores (</w:t>
            </w:r>
            <w:r w:rsidRPr="007D5704">
              <w:rPr>
                <w:sz w:val="22"/>
                <w:szCs w:val="22"/>
              </w:rPr>
              <w:t xml:space="preserve">CO2, temperatura, humedad, ruido), microcontrolador ESP32, módulo </w:t>
            </w:r>
            <w:r w:rsidR="007D5704" w:rsidRPr="007D5704">
              <w:rPr>
                <w:sz w:val="22"/>
                <w:szCs w:val="22"/>
              </w:rPr>
              <w:t>Wifi</w:t>
            </w:r>
            <w:r w:rsidRPr="007D5704">
              <w:rPr>
                <w:sz w:val="22"/>
                <w:szCs w:val="22"/>
              </w:rPr>
              <w:t>/LoRa, batería + panel solar.</w:t>
            </w:r>
          </w:p>
        </w:tc>
        <w:tc>
          <w:tcPr>
            <w:tcW w:w="3600" w:type="dxa"/>
          </w:tcPr>
          <w:p w14:paraId="7AA86CBD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 xml:space="preserve">Lectura cruda de sensores y envío de datos al </w:t>
            </w:r>
            <w:r w:rsidR="007D5704" w:rsidRPr="007D5704">
              <w:rPr>
                <w:sz w:val="22"/>
                <w:szCs w:val="22"/>
              </w:rPr>
              <w:t>Gateway</w:t>
            </w:r>
            <w:r w:rsidRPr="007D5704">
              <w:rPr>
                <w:sz w:val="22"/>
                <w:szCs w:val="22"/>
              </w:rPr>
              <w:t xml:space="preserve"> edge.</w:t>
            </w:r>
          </w:p>
        </w:tc>
      </w:tr>
      <w:tr w:rsidR="000C2668" w14:paraId="20AAF1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3643C7B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Edge</w:t>
            </w:r>
          </w:p>
        </w:tc>
        <w:tc>
          <w:tcPr>
            <w:tcW w:w="3600" w:type="dxa"/>
          </w:tcPr>
          <w:p w14:paraId="4771120D" w14:textId="77777777" w:rsidR="000C2668" w:rsidRPr="007D5704" w:rsidRDefault="00910930" w:rsidP="007D5704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Gateway local</w:t>
            </w:r>
            <w:r w:rsidRPr="007D5704">
              <w:rPr>
                <w:sz w:val="22"/>
                <w:szCs w:val="22"/>
              </w:rPr>
              <w:t xml:space="preserve">, módulo de </w:t>
            </w:r>
            <w:r w:rsidR="007D5704" w:rsidRPr="007D5704">
              <w:rPr>
                <w:sz w:val="22"/>
                <w:szCs w:val="22"/>
              </w:rPr>
              <w:t>pre procesamiento</w:t>
            </w:r>
            <w:r w:rsidRPr="007D5704">
              <w:rPr>
                <w:sz w:val="22"/>
                <w:szCs w:val="22"/>
              </w:rPr>
              <w:t>, buffer offline.</w:t>
            </w:r>
          </w:p>
        </w:tc>
        <w:tc>
          <w:tcPr>
            <w:tcW w:w="3600" w:type="dxa"/>
          </w:tcPr>
          <w:p w14:paraId="57CE4E9E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Filtrado de ruido de sensores, cálculo local del Índice de Calidad del Aire (ICA), detección de umbrales críticos para alertas inmediatas, almacenamiento temporal ante fallas de red.</w:t>
            </w:r>
          </w:p>
        </w:tc>
      </w:tr>
      <w:tr w:rsidR="000C2668" w14:paraId="1A7C24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906FB86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Cloud</w:t>
            </w:r>
          </w:p>
        </w:tc>
        <w:tc>
          <w:tcPr>
            <w:tcW w:w="3600" w:type="dxa"/>
          </w:tcPr>
          <w:p w14:paraId="7BEC36EB" w14:textId="77777777" w:rsidR="000C2668" w:rsidRPr="007D5704" w:rsidRDefault="007D5704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Bróker</w:t>
            </w:r>
            <w:r w:rsidR="00910930" w:rsidRPr="007D5704">
              <w:rPr>
                <w:sz w:val="22"/>
                <w:szCs w:val="22"/>
              </w:rPr>
              <w:t xml:space="preserve"> MQTT / IoT Hub, base de datos de series</w:t>
            </w:r>
            <w:r w:rsidR="00910930" w:rsidRPr="007D5704">
              <w:rPr>
                <w:sz w:val="22"/>
                <w:szCs w:val="22"/>
              </w:rPr>
              <w:t xml:space="preserve"> temporales, motor de analítica y modelos predictivos, gestión de dispositivos (OTA).</w:t>
            </w:r>
          </w:p>
        </w:tc>
        <w:tc>
          <w:tcPr>
            <w:tcW w:w="3600" w:type="dxa"/>
          </w:tcPr>
          <w:p w14:paraId="3003BD26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Almacenamiento histórico, análisis de tendencias, generación de reportes, actualización remota de firmware, gestión centralizada de todas las estaciones.</w:t>
            </w:r>
          </w:p>
        </w:tc>
      </w:tr>
      <w:tr w:rsidR="000C2668" w14:paraId="731246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789CBCF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Aplicación</w:t>
            </w:r>
          </w:p>
        </w:tc>
        <w:tc>
          <w:tcPr>
            <w:tcW w:w="3600" w:type="dxa"/>
          </w:tcPr>
          <w:p w14:paraId="6C5C8742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Dash</w:t>
            </w:r>
            <w:r w:rsidRPr="007D5704">
              <w:rPr>
                <w:sz w:val="22"/>
                <w:szCs w:val="22"/>
              </w:rPr>
              <w:t>board web/móvil, sistema de notificaciones push, API pública.</w:t>
            </w:r>
          </w:p>
        </w:tc>
        <w:tc>
          <w:tcPr>
            <w:tcW w:w="3600" w:type="dxa"/>
          </w:tcPr>
          <w:p w14:paraId="34BDDE9F" w14:textId="77777777" w:rsidR="000C2668" w:rsidRPr="007D5704" w:rsidRDefault="00910930">
            <w:pPr>
              <w:rPr>
                <w:sz w:val="22"/>
                <w:szCs w:val="22"/>
              </w:rPr>
            </w:pPr>
            <w:r w:rsidRPr="007D5704">
              <w:rPr>
                <w:sz w:val="22"/>
                <w:szCs w:val="22"/>
              </w:rPr>
              <w:t>Visualización en tiempo real, alertas al usuario final, integración con terceros (alcaldías, apps de salud).</w:t>
            </w:r>
          </w:p>
        </w:tc>
      </w:tr>
    </w:tbl>
    <w:p w14:paraId="1F18A3E6" w14:textId="77777777" w:rsidR="000C2668" w:rsidRDefault="000C2668">
      <w:pPr>
        <w:spacing w:after="200"/>
      </w:pPr>
    </w:p>
    <w:p w14:paraId="0F546E9F" w14:textId="77777777" w:rsidR="000C2668" w:rsidRPr="007D5704" w:rsidRDefault="00910930">
      <w:pPr>
        <w:pStyle w:val="Ttulo1"/>
        <w:spacing w:before="300" w:after="150"/>
        <w:rPr>
          <w:rFonts w:ascii="Arial" w:hAnsi="Arial" w:cs="Arial"/>
          <w:b/>
          <w:color w:val="auto"/>
        </w:rPr>
      </w:pPr>
      <w:r w:rsidRPr="007D5704">
        <w:rPr>
          <w:rFonts w:ascii="Arial" w:hAnsi="Arial" w:cs="Arial"/>
          <w:b/>
          <w:color w:val="auto"/>
        </w:rPr>
        <w:t>4. Decisiones clave: edge vs. cloud</w:t>
      </w:r>
    </w:p>
    <w:p w14:paraId="352488DA" w14:textId="77777777" w:rsidR="000C2668" w:rsidRPr="007D5704" w:rsidRDefault="00910930">
      <w:pPr>
        <w:pStyle w:val="Ttulo2"/>
        <w:spacing w:before="240" w:after="120"/>
        <w:rPr>
          <w:rFonts w:ascii="Arial" w:hAnsi="Arial" w:cs="Arial"/>
          <w:b/>
          <w:color w:val="auto"/>
        </w:rPr>
      </w:pPr>
      <w:r w:rsidRPr="007D5704">
        <w:rPr>
          <w:rFonts w:ascii="Arial" w:hAnsi="Arial" w:cs="Arial"/>
          <w:b/>
          <w:color w:val="auto"/>
        </w:rPr>
        <w:t>Qué se procesa en el edge</w:t>
      </w:r>
    </w:p>
    <w:p w14:paraId="55A2EAC9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Filtrado y limpieza de las señales crudas de los sensores (eliminación de ruido de medición).</w:t>
      </w:r>
    </w:p>
    <w:p w14:paraId="661607D2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Cálculo local del Índice de Calidad del Aire (ICA) a partir de las variables medidas.</w:t>
      </w:r>
    </w:p>
    <w:p w14:paraId="7636E538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Detección de umbrales críticos para generar alertas de baja latencia, sin de</w:t>
      </w:r>
      <w:r w:rsidRPr="007D5704">
        <w:rPr>
          <w:sz w:val="22"/>
          <w:szCs w:val="22"/>
        </w:rPr>
        <w:t>pender de la disponibilidad de la nube.</w:t>
      </w:r>
    </w:p>
    <w:p w14:paraId="33047EB2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Buffer de datos ante pérdida temporal de conectividad, evitando pérdida de información.</w:t>
      </w:r>
    </w:p>
    <w:p w14:paraId="4E7D3520" w14:textId="77777777" w:rsidR="000C2668" w:rsidRPr="007D5704" w:rsidRDefault="00910930">
      <w:pPr>
        <w:pStyle w:val="Ttulo2"/>
        <w:spacing w:before="240" w:after="120"/>
        <w:rPr>
          <w:rFonts w:ascii="Arial" w:hAnsi="Arial" w:cs="Arial"/>
          <w:b/>
          <w:color w:val="auto"/>
        </w:rPr>
      </w:pPr>
      <w:r w:rsidRPr="007D5704">
        <w:rPr>
          <w:rFonts w:ascii="Arial" w:hAnsi="Arial" w:cs="Arial"/>
          <w:b/>
          <w:color w:val="auto"/>
        </w:rPr>
        <w:t>Qué se procesa en la nube</w:t>
      </w:r>
    </w:p>
    <w:p w14:paraId="346BEAE3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Almacenamiento histórico de largo plazo en una base de series temporales.</w:t>
      </w:r>
    </w:p>
    <w:p w14:paraId="2B1ECD46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Analítica de tendencias y mo</w:t>
      </w:r>
      <w:r w:rsidRPr="007D5704">
        <w:rPr>
          <w:sz w:val="22"/>
          <w:szCs w:val="22"/>
        </w:rPr>
        <w:t>delos predictivos (por ejemplo, pronóstico de picos de contaminación).</w:t>
      </w:r>
    </w:p>
    <w:p w14:paraId="57B5C2DB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Gestión centralizada de todas las estaciones desplegadas (monitoreo de salud del dispositivo, actualizaciones OTA).</w:t>
      </w:r>
    </w:p>
    <w:p w14:paraId="73012FE3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>Generación de reportes agregados para autoridades ambientales.</w:t>
      </w:r>
    </w:p>
    <w:p w14:paraId="0F96F9A0" w14:textId="77777777" w:rsidR="000C2668" w:rsidRPr="007D5704" w:rsidRDefault="00910930">
      <w:pPr>
        <w:pStyle w:val="Ttulo2"/>
        <w:spacing w:before="240" w:after="120"/>
        <w:rPr>
          <w:rFonts w:ascii="Arial" w:hAnsi="Arial" w:cs="Arial"/>
          <w:b/>
          <w:color w:val="auto"/>
        </w:rPr>
      </w:pPr>
      <w:r w:rsidRPr="007D5704">
        <w:rPr>
          <w:rFonts w:ascii="Arial" w:hAnsi="Arial" w:cs="Arial"/>
          <w:b/>
          <w:color w:val="auto"/>
        </w:rPr>
        <w:t>Justif</w:t>
      </w:r>
      <w:r w:rsidRPr="007D5704">
        <w:rPr>
          <w:rFonts w:ascii="Arial" w:hAnsi="Arial" w:cs="Arial"/>
          <w:b/>
          <w:color w:val="auto"/>
        </w:rPr>
        <w:t>icación</w:t>
      </w:r>
    </w:p>
    <w:p w14:paraId="2DF320CE" w14:textId="77777777" w:rsidR="000C2668" w:rsidRPr="007D5704" w:rsidRDefault="00910930">
      <w:pPr>
        <w:spacing w:after="120"/>
        <w:rPr>
          <w:sz w:val="22"/>
          <w:szCs w:val="22"/>
        </w:rPr>
      </w:pPr>
      <w:r w:rsidRPr="007D5704">
        <w:rPr>
          <w:sz w:val="22"/>
          <w:szCs w:val="22"/>
        </w:rPr>
        <w:t xml:space="preserve">Se procesa localmente lo que requiere respuesta inmediata (alertas) o reduce el volumen de datos transmitidos (filtrado, cálculo de ICA), disminuyendo costos de conectividad y consumo energético. Se reserva para la nube todo lo que requiere visión </w:t>
      </w:r>
      <w:r w:rsidRPr="007D5704">
        <w:rPr>
          <w:sz w:val="22"/>
          <w:szCs w:val="22"/>
        </w:rPr>
        <w:t>histórica, gran capacidad de cómputo/almacenamiento o gestión centralizada de múltiples estaciones, tareas para las que el edge no está dimensionado.</w:t>
      </w:r>
    </w:p>
    <w:p w14:paraId="633E42B8" w14:textId="77777777" w:rsidR="000C2668" w:rsidRPr="007D5704" w:rsidRDefault="00910930">
      <w:pPr>
        <w:pStyle w:val="Ttulo1"/>
        <w:spacing w:before="300" w:after="150"/>
        <w:rPr>
          <w:rFonts w:ascii="Arial" w:hAnsi="Arial" w:cs="Arial"/>
          <w:b/>
          <w:color w:val="auto"/>
          <w:sz w:val="26"/>
          <w:szCs w:val="26"/>
        </w:rPr>
      </w:pPr>
      <w:r w:rsidRPr="007D5704">
        <w:rPr>
          <w:rFonts w:ascii="Arial" w:hAnsi="Arial" w:cs="Arial"/>
          <w:b/>
          <w:color w:val="auto"/>
          <w:sz w:val="26"/>
          <w:szCs w:val="26"/>
        </w:rPr>
        <w:t>5. Conectividad</w:t>
      </w:r>
    </w:p>
    <w:p w14:paraId="66927C69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 xml:space="preserve">Sensor → Gateway edge: </w:t>
      </w:r>
      <w:r w:rsidR="00F44AA3" w:rsidRPr="007D5704">
        <w:rPr>
          <w:sz w:val="22"/>
          <w:szCs w:val="22"/>
        </w:rPr>
        <w:t>Wifi</w:t>
      </w:r>
      <w:r w:rsidRPr="007D5704">
        <w:rPr>
          <w:sz w:val="22"/>
          <w:szCs w:val="22"/>
        </w:rPr>
        <w:t xml:space="preserve"> en despliegues concentrados (campus, parques pequeños) o LoRa cuando las estaciones están geográficamente dispersas y se prioriza bajo consumo energético sobre ancho de banda.</w:t>
      </w:r>
    </w:p>
    <w:p w14:paraId="1CBBB3BE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 xml:space="preserve">Edge → Cloud: </w:t>
      </w:r>
      <w:r w:rsidRPr="007D5704">
        <w:rPr>
          <w:sz w:val="22"/>
          <w:szCs w:val="22"/>
        </w:rPr>
        <w:t xml:space="preserve">MQTT sobre </w:t>
      </w:r>
      <w:r w:rsidR="00F44AA3" w:rsidRPr="007D5704">
        <w:rPr>
          <w:sz w:val="22"/>
          <w:szCs w:val="22"/>
        </w:rPr>
        <w:t>Wifi</w:t>
      </w:r>
      <w:r w:rsidRPr="007D5704">
        <w:rPr>
          <w:sz w:val="22"/>
          <w:szCs w:val="22"/>
        </w:rPr>
        <w:t xml:space="preserve"> o red celular 4G/LTE, un protocolo ligero ade</w:t>
      </w:r>
      <w:r w:rsidRPr="007D5704">
        <w:rPr>
          <w:sz w:val="22"/>
          <w:szCs w:val="22"/>
        </w:rPr>
        <w:t>cuado para telemetría IoT con conexiones intermitentes.</w:t>
      </w:r>
    </w:p>
    <w:p w14:paraId="67EB5391" w14:textId="77777777" w:rsidR="000C2668" w:rsidRPr="007D5704" w:rsidRDefault="00910930">
      <w:pPr>
        <w:pStyle w:val="Prrafodelista"/>
        <w:numPr>
          <w:ilvl w:val="0"/>
          <w:numId w:val="1"/>
        </w:numPr>
        <w:spacing w:after="80"/>
        <w:rPr>
          <w:sz w:val="22"/>
          <w:szCs w:val="22"/>
        </w:rPr>
      </w:pPr>
      <w:r w:rsidRPr="007D5704">
        <w:rPr>
          <w:sz w:val="22"/>
          <w:szCs w:val="22"/>
        </w:rPr>
        <w:t xml:space="preserve">Cloud → Aplicación: </w:t>
      </w:r>
      <w:r w:rsidRPr="007D5704">
        <w:rPr>
          <w:sz w:val="22"/>
          <w:szCs w:val="22"/>
        </w:rPr>
        <w:t>HTTPS/REST para consultas estándar y WebSockets para actualización de datos en tiempo real en el dashboard.</w:t>
      </w:r>
    </w:p>
    <w:p w14:paraId="49F1CFD2" w14:textId="77777777" w:rsidR="000C2668" w:rsidRDefault="00910930">
      <w:pPr>
        <w:pStyle w:val="Ttulo1"/>
        <w:spacing w:before="300" w:after="150"/>
      </w:pPr>
      <w:r w:rsidRPr="00F44AA3">
        <w:rPr>
          <w:rFonts w:ascii="Arial" w:hAnsi="Arial" w:cs="Arial"/>
          <w:b/>
          <w:color w:val="auto"/>
          <w:sz w:val="26"/>
          <w:szCs w:val="26"/>
        </w:rPr>
        <w:lastRenderedPageBreak/>
        <w:t>6. Alcance de esta propuesta</w:t>
      </w:r>
    </w:p>
    <w:p w14:paraId="5CBE8594" w14:textId="77777777" w:rsidR="000C2668" w:rsidRPr="00F44AA3" w:rsidRDefault="00910930">
      <w:pPr>
        <w:spacing w:after="120"/>
        <w:rPr>
          <w:sz w:val="22"/>
          <w:szCs w:val="22"/>
        </w:rPr>
      </w:pPr>
      <w:r w:rsidRPr="00F44AA3">
        <w:rPr>
          <w:sz w:val="22"/>
          <w:szCs w:val="22"/>
        </w:rPr>
        <w:t>Este documento presenta un bosquejo concept</w:t>
      </w:r>
      <w:r w:rsidRPr="00F44AA3">
        <w:rPr>
          <w:sz w:val="22"/>
          <w:szCs w:val="22"/>
        </w:rPr>
        <w:t>ual de la arquitectura, sin selección detallada de componentes ni de servicios cloud específicos. El propósito es establecer las capas, sus responsabilidades y el flujo general de datos como base para una fase posterior de diseño detallado.</w:t>
      </w:r>
    </w:p>
    <w:sectPr w:rsidR="000C2668" w:rsidRPr="00F44A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FA2C4C"/>
    <w:multiLevelType w:val="hybridMultilevel"/>
    <w:tmpl w:val="47226586"/>
    <w:lvl w:ilvl="0" w:tplc="5DDE919C">
      <w:start w:val="1"/>
      <w:numFmt w:val="bullet"/>
      <w:lvlText w:val="●"/>
      <w:lvlJc w:val="left"/>
      <w:pPr>
        <w:ind w:left="720" w:hanging="360"/>
      </w:pPr>
    </w:lvl>
    <w:lvl w:ilvl="1" w:tplc="7C8CAB88">
      <w:start w:val="1"/>
      <w:numFmt w:val="bullet"/>
      <w:lvlText w:val="○"/>
      <w:lvlJc w:val="left"/>
      <w:pPr>
        <w:ind w:left="1440" w:hanging="360"/>
      </w:pPr>
    </w:lvl>
    <w:lvl w:ilvl="2" w:tplc="F538005C">
      <w:start w:val="1"/>
      <w:numFmt w:val="bullet"/>
      <w:lvlText w:val="■"/>
      <w:lvlJc w:val="left"/>
      <w:pPr>
        <w:ind w:left="2160" w:hanging="360"/>
      </w:pPr>
    </w:lvl>
    <w:lvl w:ilvl="3" w:tplc="01B279E0">
      <w:start w:val="1"/>
      <w:numFmt w:val="bullet"/>
      <w:lvlText w:val="●"/>
      <w:lvlJc w:val="left"/>
      <w:pPr>
        <w:ind w:left="2880" w:hanging="360"/>
      </w:pPr>
    </w:lvl>
    <w:lvl w:ilvl="4" w:tplc="E1367EE6">
      <w:start w:val="1"/>
      <w:numFmt w:val="bullet"/>
      <w:lvlText w:val="○"/>
      <w:lvlJc w:val="left"/>
      <w:pPr>
        <w:ind w:left="3600" w:hanging="360"/>
      </w:pPr>
    </w:lvl>
    <w:lvl w:ilvl="5" w:tplc="A39C4B06">
      <w:start w:val="1"/>
      <w:numFmt w:val="bullet"/>
      <w:lvlText w:val="■"/>
      <w:lvlJc w:val="left"/>
      <w:pPr>
        <w:ind w:left="4320" w:hanging="360"/>
      </w:pPr>
    </w:lvl>
    <w:lvl w:ilvl="6" w:tplc="B26C8BA8">
      <w:start w:val="1"/>
      <w:numFmt w:val="bullet"/>
      <w:lvlText w:val="●"/>
      <w:lvlJc w:val="left"/>
      <w:pPr>
        <w:ind w:left="5040" w:hanging="360"/>
      </w:pPr>
    </w:lvl>
    <w:lvl w:ilvl="7" w:tplc="46F8F12C">
      <w:start w:val="1"/>
      <w:numFmt w:val="bullet"/>
      <w:lvlText w:val="●"/>
      <w:lvlJc w:val="left"/>
      <w:pPr>
        <w:ind w:left="5760" w:hanging="360"/>
      </w:pPr>
    </w:lvl>
    <w:lvl w:ilvl="8" w:tplc="C6D212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668"/>
    <w:rsid w:val="000C2668"/>
    <w:rsid w:val="007D5704"/>
    <w:rsid w:val="00910930"/>
    <w:rsid w:val="00F4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318C9"/>
  <w15:docId w15:val="{566DF846-366C-470F-BA5D-8E250739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yeimi alxandra barreto rodriguez</cp:lastModifiedBy>
  <cp:revision>2</cp:revision>
  <dcterms:created xsi:type="dcterms:W3CDTF">2026-08-29T22:35:00Z</dcterms:created>
  <dcterms:modified xsi:type="dcterms:W3CDTF">2026-08-29T22:35:00Z</dcterms:modified>
</cp:coreProperties>
</file>