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44DC5" w14:textId="77777777" w:rsidR="00390360" w:rsidRDefault="00390360" w:rsidP="0060593F">
      <w:pPr>
        <w:autoSpaceDE w:val="0"/>
        <w:autoSpaceDN w:val="0"/>
        <w:adjustRightInd w:val="0"/>
        <w:spacing w:after="0" w:line="240" w:lineRule="auto"/>
        <w:jc w:val="both"/>
        <w:rPr>
          <w:rFonts w:ascii="Times New Roman" w:hAnsi="Times New Roman" w:cs="Times New Roman"/>
          <w:kern w:val="0"/>
          <w:sz w:val="20"/>
          <w:szCs w:val="20"/>
        </w:rPr>
      </w:pPr>
    </w:p>
    <w:p w14:paraId="794AA39C" w14:textId="3742F380" w:rsidR="0060593F" w:rsidRDefault="0060593F" w:rsidP="0060593F">
      <w:pPr>
        <w:autoSpaceDE w:val="0"/>
        <w:autoSpaceDN w:val="0"/>
        <w:adjustRightInd w:val="0"/>
        <w:spacing w:after="0" w:line="240" w:lineRule="auto"/>
        <w:jc w:val="both"/>
        <w:rPr>
          <w:rFonts w:ascii="Times New Roman" w:hAnsi="Times New Roman" w:cs="Times New Roman"/>
          <w:kern w:val="0"/>
          <w:sz w:val="20"/>
          <w:szCs w:val="20"/>
        </w:rPr>
      </w:pPr>
      <w:r>
        <w:rPr>
          <w:rFonts w:ascii="Times New Roman" w:hAnsi="Times New Roman" w:cs="Times New Roman"/>
          <w:kern w:val="0"/>
          <w:sz w:val="20"/>
          <w:szCs w:val="20"/>
        </w:rPr>
        <w:t>RESUMEN</w:t>
      </w:r>
    </w:p>
    <w:p w14:paraId="163717F4" w14:textId="0BEC0A0F" w:rsidR="0060593F" w:rsidRDefault="0060593F" w:rsidP="0060593F">
      <w:pPr>
        <w:autoSpaceDE w:val="0"/>
        <w:autoSpaceDN w:val="0"/>
        <w:adjustRightInd w:val="0"/>
        <w:spacing w:after="0" w:line="240" w:lineRule="auto"/>
        <w:jc w:val="both"/>
        <w:rPr>
          <w:rFonts w:ascii="Times New Roman" w:hAnsi="Times New Roman" w:cs="Times New Roman"/>
          <w:kern w:val="0"/>
          <w:sz w:val="20"/>
          <w:szCs w:val="20"/>
        </w:rPr>
      </w:pPr>
      <w:r>
        <w:rPr>
          <w:rFonts w:ascii="Times New Roman" w:hAnsi="Times New Roman" w:cs="Times New Roman"/>
          <w:kern w:val="0"/>
          <w:sz w:val="20"/>
          <w:szCs w:val="20"/>
        </w:rPr>
        <w:t>La emergencia sanitaria desencadenada por el COVID-19 no solo representó una crisis de</w:t>
      </w:r>
    </w:p>
    <w:p w14:paraId="5A9EB54B" w14:textId="77777777" w:rsidR="0060593F" w:rsidRDefault="0060593F" w:rsidP="0060593F">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salud pública, sino que actuó como un catalizador de transformaciones estructurales en las dinámicas</w:t>
      </w:r>
    </w:p>
    <w:p w14:paraId="159DED4B" w14:textId="77777777" w:rsidR="0060593F" w:rsidRDefault="0060593F" w:rsidP="0060593F">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productivas de ciudades intermedias. El presente artículo </w:t>
      </w:r>
      <w:commentRangeStart w:id="0"/>
      <w:r>
        <w:rPr>
          <w:rFonts w:ascii="Times New Roman" w:hAnsi="Times New Roman" w:cs="Times New Roman"/>
          <w:kern w:val="0"/>
          <w:sz w:val="20"/>
          <w:szCs w:val="20"/>
        </w:rPr>
        <w:t>tiene</w:t>
      </w:r>
      <w:commentRangeEnd w:id="0"/>
      <w:r>
        <w:rPr>
          <w:rStyle w:val="Refdecomentario"/>
          <w:rFonts w:ascii="Times New Roman" w:hAnsi="Times New Roman" w:cs="Times New Roman"/>
          <w:kern w:val="0"/>
          <w:sz w:val="20"/>
          <w:szCs w:val="20"/>
        </w:rPr>
        <w:commentReference w:id="0"/>
      </w:r>
      <w:r>
        <w:rPr>
          <w:rFonts w:ascii="Times New Roman" w:hAnsi="Times New Roman" w:cs="Times New Roman"/>
          <w:kern w:val="0"/>
          <w:sz w:val="20"/>
          <w:szCs w:val="20"/>
        </w:rPr>
        <w:t xml:space="preserve"> como propósito examinar la trayectoria</w:t>
      </w:r>
    </w:p>
    <w:p w14:paraId="66A51110" w14:textId="77777777" w:rsidR="0060593F" w:rsidRDefault="0060593F" w:rsidP="0060593F">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del comportamiento económico en Florencia, Caquetá, analizando cómo variables críticas como la</w:t>
      </w:r>
    </w:p>
    <w:p w14:paraId="658C8334" w14:textId="77777777" w:rsidR="0060593F" w:rsidRDefault="0060593F" w:rsidP="0060593F">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restricción de movilidad, la contracción de la demanda y la limitada resiliencia financiera impactaron</w:t>
      </w:r>
    </w:p>
    <w:p w14:paraId="5A924D69" w14:textId="77777777" w:rsidR="0060593F" w:rsidRDefault="0060593F" w:rsidP="0060593F">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la sostenibilidad de los microcomerciantes y emprendedores locales. La investigación se fundamentó</w:t>
      </w:r>
    </w:p>
    <w:p w14:paraId="39B0A816" w14:textId="77777777" w:rsidR="0060593F" w:rsidRDefault="0060593F" w:rsidP="0060593F">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en una metodología de diseño cualitativo con un enfoque descriptivo-documental, sistematizando</w:t>
      </w:r>
    </w:p>
    <w:p w14:paraId="492D1FE5" w14:textId="77777777" w:rsidR="0060593F" w:rsidRDefault="0060593F" w:rsidP="0060593F">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información proveniente de repositorios académicos e informes institucionales para identificar</w:t>
      </w:r>
    </w:p>
    <w:p w14:paraId="632D6E1B" w14:textId="77777777" w:rsidR="0060593F" w:rsidRDefault="0060593F" w:rsidP="0060593F">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patrones de vulnerabilidad y estrategias de adaptación. Los hallazgos revelan una erosión significativa</w:t>
      </w:r>
    </w:p>
    <w:p w14:paraId="60E5DA72" w14:textId="77777777" w:rsidR="0060593F" w:rsidRDefault="0060593F" w:rsidP="0060593F">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en los ingresos operativos, agravada por rupturas en las cadenas de suministro y una adopción</w:t>
      </w:r>
    </w:p>
    <w:p w14:paraId="6CFA430B" w14:textId="77777777" w:rsidR="0060593F" w:rsidRDefault="0060593F" w:rsidP="0060593F">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tecnológica reactiva que no compensó la parálisis del mercado físico. Asimismo, se evidenció que la</w:t>
      </w:r>
    </w:p>
    <w:p w14:paraId="57EAF1F5" w14:textId="77777777" w:rsidR="0060593F" w:rsidRDefault="0060593F" w:rsidP="0060593F">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informalidad y la baja bancarización actuaron como barreras que impidieron el acceso efectivo a las</w:t>
      </w:r>
    </w:p>
    <w:p w14:paraId="6B5132AC" w14:textId="77777777" w:rsidR="0060593F" w:rsidRDefault="0060593F" w:rsidP="0060593F">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redes de apoyo gubernamentales. Se concluye que la recuperación en el escenario pospandemia es</w:t>
      </w:r>
    </w:p>
    <w:p w14:paraId="2511D531" w14:textId="77777777" w:rsidR="0060593F" w:rsidRDefault="0060593F" w:rsidP="0060593F">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asimétrica y está condicionada por la capacidad de innovación digital y el fortalecimiento de la</w:t>
      </w:r>
    </w:p>
    <w:p w14:paraId="382C7113" w14:textId="77777777" w:rsidR="0060593F" w:rsidRDefault="0060593F" w:rsidP="0060593F">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educación financiera. Estos resultados subrayan la urgencia de políticas públicas que trasciendan el</w:t>
      </w:r>
    </w:p>
    <w:p w14:paraId="1BFAA931" w14:textId="77777777" w:rsidR="0060593F" w:rsidRDefault="0060593F" w:rsidP="0060593F">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auxilio inmediato y se enfoquen en la construcción de capacidades endógenas para proteger el tejido</w:t>
      </w:r>
    </w:p>
    <w:p w14:paraId="5649C1C1" w14:textId="7A39749E" w:rsidR="009C243D" w:rsidRDefault="0060593F" w:rsidP="0060593F">
      <w:pPr>
        <w:rPr>
          <w:rFonts w:ascii="Times New Roman" w:hAnsi="Times New Roman" w:cs="Times New Roman"/>
          <w:kern w:val="0"/>
          <w:sz w:val="20"/>
          <w:szCs w:val="20"/>
        </w:rPr>
      </w:pPr>
      <w:r>
        <w:rPr>
          <w:rFonts w:ascii="Times New Roman" w:hAnsi="Times New Roman" w:cs="Times New Roman"/>
          <w:kern w:val="0"/>
          <w:sz w:val="20"/>
          <w:szCs w:val="20"/>
        </w:rPr>
        <w:t>empresarial amazónico ante futuras crisis sistémicas.</w:t>
      </w:r>
    </w:p>
    <w:p w14:paraId="174CAB6E" w14:textId="77777777" w:rsidR="0060593F" w:rsidRDefault="0060593F" w:rsidP="0060593F">
      <w:pPr>
        <w:rPr>
          <w:rFonts w:ascii="Times New Roman" w:hAnsi="Times New Roman" w:cs="Times New Roman"/>
          <w:kern w:val="0"/>
          <w:sz w:val="20"/>
          <w:szCs w:val="20"/>
        </w:rPr>
      </w:pPr>
    </w:p>
    <w:p w14:paraId="4325FBBD" w14:textId="7F296313" w:rsidR="0060593F" w:rsidRDefault="0060593F" w:rsidP="0060593F">
      <w:pPr>
        <w:rPr>
          <w:rFonts w:ascii="Times New Roman" w:hAnsi="Times New Roman" w:cs="Times New Roman"/>
          <w:kern w:val="0"/>
          <w:sz w:val="20"/>
          <w:szCs w:val="20"/>
        </w:rPr>
      </w:pPr>
      <w:r>
        <w:rPr>
          <w:rFonts w:ascii="Times New Roman" w:hAnsi="Times New Roman" w:cs="Times New Roman"/>
          <w:kern w:val="0"/>
          <w:sz w:val="20"/>
          <w:szCs w:val="20"/>
        </w:rPr>
        <w:t>INTRODUCCIÓN</w:t>
      </w:r>
    </w:p>
    <w:p w14:paraId="193E546F" w14:textId="77777777" w:rsidR="0060593F" w:rsidRDefault="0060593F" w:rsidP="006059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La disrupción sistémica generada por la pandemia del SARS-CoV-2 reconfiguró el</w:t>
      </w:r>
    </w:p>
    <w:p w14:paraId="4DF55A46" w14:textId="777D0C4E" w:rsidR="0060593F" w:rsidRDefault="0060593F" w:rsidP="006059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panorama productivo global en una escala sin precedentes. Instituciones internacionales han calificado este periodo como la crisis más severa en los últimos setenta y cinco años, afectando no solo la salud colectiva sino los cimientos mismos de la convivencia económica y social (Florini &amp; Sharma, 2020). En el contexto latinoamericano, la vulnerabilidad de las economías basadas en el comercio informal y la interacción presencial se hizo evidente desde las primeras fases de confinamiento, revelando la fragilidad de un tejido empresarial que carecía de seguros ante parálisis totales del mercado.</w:t>
      </w:r>
    </w:p>
    <w:p w14:paraId="020138AA" w14:textId="77777777" w:rsidR="0060593F" w:rsidRDefault="0060593F" w:rsidP="006059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
    <w:p w14:paraId="3D62E590" w14:textId="1E134DF3" w:rsidR="0060593F" w:rsidRDefault="0060593F" w:rsidP="006059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Para el municipio de Florencia, Caquetá, cuya dinámica económica reposa mayoritariamente en el esfuerzo de pequeños comerciantes y sectores de servicios, la cuarentena obligatoria de 2020 significó una ruptura violenta en sus ciclos de liquidez. Esta</w:t>
      </w:r>
    </w:p>
    <w:p w14:paraId="31667CAC" w14:textId="3AC1CCB4" w:rsidR="0060593F" w:rsidRDefault="0060593F" w:rsidP="006059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situación se vio agravada por su ubicación geográfica y su dependencia de cadenas logísticas que sufrieron interrupciones críticas (López, 2017). Comprender estos mecanismos de afectación no es solo un ejercicio académico, sino una necesidad imperativa para trazar rutas de desarrollo regional que permitan transitar de la mera supervivencia a la sostenibilidad</w:t>
      </w:r>
    </w:p>
    <w:p w14:paraId="43C99C4A" w14:textId="77777777" w:rsidR="0060593F" w:rsidRDefault="0060593F" w:rsidP="006059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estratégica.</w:t>
      </w:r>
    </w:p>
    <w:p w14:paraId="49F54F81" w14:textId="77777777" w:rsidR="0060593F" w:rsidRDefault="0060593F" w:rsidP="0060593F">
      <w:pPr>
        <w:autoSpaceDE w:val="0"/>
        <w:autoSpaceDN w:val="0"/>
        <w:adjustRightInd w:val="0"/>
        <w:spacing w:after="0" w:line="240" w:lineRule="auto"/>
        <w:rPr>
          <w:rFonts w:ascii="Times New Roman" w:hAnsi="Times New Roman" w:cs="Times New Roman"/>
          <w:kern w:val="0"/>
        </w:rPr>
      </w:pPr>
    </w:p>
    <w:p w14:paraId="287D9980" w14:textId="37D6E3FE" w:rsidR="0060593F" w:rsidRDefault="0060593F" w:rsidP="006059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El objetivo central de este artículo es </w:t>
      </w:r>
      <w:commentRangeStart w:id="1"/>
      <w:r>
        <w:rPr>
          <w:rFonts w:ascii="Times New Roman" w:hAnsi="Times New Roman" w:cs="Times New Roman"/>
          <w:kern w:val="0"/>
        </w:rPr>
        <w:t>analizar</w:t>
      </w:r>
      <w:commentRangeEnd w:id="1"/>
      <w:r>
        <w:rPr>
          <w:rStyle w:val="Refdecomentario"/>
          <w:rFonts w:ascii="Times New Roman" w:hAnsi="Times New Roman" w:cs="Times New Roman"/>
          <w:kern w:val="0"/>
          <w:sz w:val="24"/>
          <w:szCs w:val="24"/>
        </w:rPr>
        <w:commentReference w:id="1"/>
      </w:r>
      <w:r>
        <w:rPr>
          <w:rFonts w:ascii="Times New Roman" w:hAnsi="Times New Roman" w:cs="Times New Roman"/>
          <w:kern w:val="0"/>
        </w:rPr>
        <w:t xml:space="preserve"> el comportamiento económico en</w:t>
      </w:r>
    </w:p>
    <w:p w14:paraId="75769C70" w14:textId="77777777" w:rsidR="0060593F" w:rsidRDefault="0060593F" w:rsidP="006059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Florencia durante el periodo 2020-2024, evaluando los factores externos e internos que</w:t>
      </w:r>
    </w:p>
    <w:p w14:paraId="625C65D4" w14:textId="77777777" w:rsidR="0060593F" w:rsidRDefault="0060593F" w:rsidP="006059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determinaron la permanencia o el cese de operaciones de los emprendimientos locales. Se</w:t>
      </w:r>
    </w:p>
    <w:p w14:paraId="0DBB5AA6" w14:textId="77777777" w:rsidR="0060593F" w:rsidRDefault="0060593F" w:rsidP="0060593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busca, a través de una revisión rigurosa, documentar las lecciones aprendidas y proponer</w:t>
      </w:r>
    </w:p>
    <w:p w14:paraId="0D36C6A1" w14:textId="6791439B" w:rsidR="0060593F" w:rsidRDefault="0060593F" w:rsidP="0060593F">
      <w:pPr>
        <w:rPr>
          <w:rFonts w:ascii="Times New Roman" w:hAnsi="Times New Roman" w:cs="Times New Roman"/>
          <w:kern w:val="0"/>
        </w:rPr>
      </w:pPr>
      <w:r>
        <w:rPr>
          <w:rFonts w:ascii="Times New Roman" w:hAnsi="Times New Roman" w:cs="Times New Roman"/>
          <w:kern w:val="0"/>
        </w:rPr>
        <w:t>lineamientos para el fortalecimiento de la competitividad regional.</w:t>
      </w:r>
    </w:p>
    <w:p w14:paraId="58E79315" w14:textId="77777777" w:rsidR="00311F17" w:rsidRDefault="00311F17" w:rsidP="0060593F">
      <w:pPr>
        <w:rPr>
          <w:rFonts w:ascii="Times New Roman" w:hAnsi="Times New Roman" w:cs="Times New Roman"/>
          <w:kern w:val="0"/>
        </w:rPr>
      </w:pPr>
    </w:p>
    <w:p w14:paraId="45D95075" w14:textId="71DAAF0F" w:rsidR="00311F17" w:rsidRDefault="00311F17" w:rsidP="0060593F">
      <w:pPr>
        <w:rPr>
          <w:rFonts w:ascii="Times New Roman" w:hAnsi="Times New Roman" w:cs="Times New Roman"/>
          <w:b/>
          <w:bCs/>
          <w:kern w:val="0"/>
        </w:rPr>
      </w:pPr>
      <w:r>
        <w:rPr>
          <w:rFonts w:ascii="Times New Roman" w:hAnsi="Times New Roman" w:cs="Times New Roman"/>
          <w:b/>
          <w:bCs/>
          <w:kern w:val="0"/>
        </w:rPr>
        <w:t xml:space="preserve">RESULTADOS Y </w:t>
      </w:r>
      <w:commentRangeStart w:id="2"/>
      <w:r>
        <w:rPr>
          <w:rFonts w:ascii="Times New Roman" w:hAnsi="Times New Roman" w:cs="Times New Roman"/>
          <w:b/>
          <w:bCs/>
          <w:kern w:val="0"/>
        </w:rPr>
        <w:t>DISCUSIÓN</w:t>
      </w:r>
      <w:commentRangeEnd w:id="2"/>
      <w:r>
        <w:rPr>
          <w:rStyle w:val="Refdecomentario"/>
          <w:rFonts w:ascii="Times New Roman" w:hAnsi="Times New Roman" w:cs="Times New Roman"/>
          <w:b/>
          <w:bCs/>
          <w:kern w:val="0"/>
          <w:sz w:val="24"/>
          <w:szCs w:val="24"/>
        </w:rPr>
        <w:commentReference w:id="2"/>
      </w:r>
    </w:p>
    <w:p w14:paraId="410BC166" w14:textId="40C1F9C6" w:rsidR="00BD7C65" w:rsidRDefault="00BD7C65" w:rsidP="0060593F">
      <w:commentRangeStart w:id="3"/>
      <w:r>
        <w:rPr>
          <w:rFonts w:ascii="Times New Roman" w:hAnsi="Times New Roman" w:cs="Times New Roman"/>
          <w:b/>
          <w:bCs/>
          <w:kern w:val="0"/>
        </w:rPr>
        <w:lastRenderedPageBreak/>
        <w:t>BIBLIOGRAFÍA</w:t>
      </w:r>
      <w:commentRangeEnd w:id="3"/>
      <w:r>
        <w:rPr>
          <w:rStyle w:val="Refdecomentario"/>
          <w:sz w:val="24"/>
          <w:szCs w:val="24"/>
        </w:rPr>
        <w:commentReference w:id="3"/>
      </w:r>
    </w:p>
    <w:sectPr w:rsidR="00BD7C65">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uario" w:date="2026-04-19T23:17:00Z" w:initials="U">
    <w:p w14:paraId="6BF5DF6B" w14:textId="77777777" w:rsidR="0060593F" w:rsidRDefault="0060593F">
      <w:pPr>
        <w:pStyle w:val="Textocomentario"/>
      </w:pPr>
      <w:r>
        <w:rPr>
          <w:rStyle w:val="Refdecomentario"/>
        </w:rPr>
        <w:annotationRef/>
      </w:r>
      <w:r>
        <w:t>LOS ARTICULOS SE ESCRIBEN EN PASADO</w:t>
      </w:r>
    </w:p>
    <w:p w14:paraId="093BDDF8" w14:textId="5A9FEC33" w:rsidR="0060593F" w:rsidRDefault="0060593F">
      <w:pPr>
        <w:pStyle w:val="Textocomentario"/>
      </w:pPr>
      <w:r>
        <w:t>FUENTE, TAMAÑO Y ESTILO DIFERENTE DE LETRA EN EL ARTICULO</w:t>
      </w:r>
    </w:p>
  </w:comment>
  <w:comment w:id="1" w:author="Usuario" w:date="2026-04-19T23:23:00Z" w:initials="U">
    <w:p w14:paraId="62F7E599" w14:textId="6CF61761" w:rsidR="0060593F" w:rsidRDefault="0060593F">
      <w:pPr>
        <w:pStyle w:val="Textocomentario"/>
      </w:pPr>
      <w:r>
        <w:rPr>
          <w:rStyle w:val="Refdecomentario"/>
        </w:rPr>
        <w:annotationRef/>
      </w:r>
      <w:r>
        <w:t>NO PUEDE TENER DOS OBJETIVOS EN UN MISMO ARTICULO. SREVISAR EL RESUMEN</w:t>
      </w:r>
    </w:p>
  </w:comment>
  <w:comment w:id="2" w:author="Usuario" w:date="2026-04-19T23:30:00Z" w:initials="U">
    <w:p w14:paraId="6654F66D" w14:textId="3CA8E0F9" w:rsidR="00311F17" w:rsidRDefault="00311F17">
      <w:pPr>
        <w:pStyle w:val="Textocomentario"/>
      </w:pPr>
      <w:r>
        <w:rPr>
          <w:rStyle w:val="Refdecomentario"/>
        </w:rPr>
        <w:annotationRef/>
      </w:r>
      <w:r>
        <w:t>MUY CORTA, SE RECOMIENDA AMPLIARLA (POR LO MENOS UNA DOS PAGINAS MÁS)</w:t>
      </w:r>
    </w:p>
    <w:p w14:paraId="6D7AB5CD" w14:textId="2A3DBF81" w:rsidR="00311F17" w:rsidRDefault="00311F17">
      <w:pPr>
        <w:pStyle w:val="Textocomentario"/>
      </w:pPr>
      <w:r>
        <w:t xml:space="preserve">TODOS LOS PARRAFOS DEBEN LLEVAR LA CITA DE LAS FUENTES DE DONDE SE APOYARON PARA  EL DESARROLLO DE CADA UNO DE LOS SUBTEMAS INCLUIDOS EN ESTE ITEM </w:t>
      </w:r>
    </w:p>
  </w:comment>
  <w:comment w:id="3" w:author="Usuario" w:date="2026-04-19T23:35:00Z" w:initials="U">
    <w:p w14:paraId="6C9801A9" w14:textId="3220372A" w:rsidR="00BD7C65" w:rsidRDefault="00BD7C65">
      <w:pPr>
        <w:pStyle w:val="Textocomentario"/>
      </w:pPr>
      <w:r>
        <w:rPr>
          <w:rStyle w:val="Refdecomentario"/>
        </w:rPr>
        <w:annotationRef/>
      </w:r>
      <w:r>
        <w:t>DEBEN INCLUIRSE 25 DOCUMENTOS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3BDDF8" w15:done="0"/>
  <w15:commentEx w15:paraId="62F7E599" w15:done="0"/>
  <w15:commentEx w15:paraId="6D7AB5CD" w15:done="0"/>
  <w15:commentEx w15:paraId="6C9801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7DC97D" w16cex:dateUtc="2026-04-20T04:17:00Z"/>
  <w16cex:commentExtensible w16cex:durableId="6A4876FA" w16cex:dateUtc="2026-04-20T04:23:00Z"/>
  <w16cex:commentExtensible w16cex:durableId="1829E639" w16cex:dateUtc="2026-04-20T04:30:00Z"/>
  <w16cex:commentExtensible w16cex:durableId="70C53882" w16cex:dateUtc="2026-04-20T04: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3BDDF8" w16cid:durableId="537DC97D"/>
  <w16cid:commentId w16cid:paraId="62F7E599" w16cid:durableId="6A4876FA"/>
  <w16cid:commentId w16cid:paraId="6D7AB5CD" w16cid:durableId="1829E639"/>
  <w16cid:commentId w16cid:paraId="6C9801A9" w16cid:durableId="70C5388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Lohit Devanagari">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uario">
    <w15:presenceInfo w15:providerId="None" w15:userId="Usua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93F"/>
    <w:rsid w:val="00311F17"/>
    <w:rsid w:val="00390360"/>
    <w:rsid w:val="0060593F"/>
    <w:rsid w:val="009A1310"/>
    <w:rsid w:val="009C243D"/>
    <w:rsid w:val="00BD7C65"/>
    <w:rsid w:val="00D616FE"/>
    <w:rsid w:val="00F7614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26399"/>
  <w15:chartTrackingRefBased/>
  <w15:docId w15:val="{5D8E8429-0865-4815-A387-2A218AEA2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body">
    <w:name w:val="Text body"/>
    <w:basedOn w:val="Normal"/>
    <w:rsid w:val="0060593F"/>
    <w:pPr>
      <w:suppressAutoHyphens/>
      <w:autoSpaceDN w:val="0"/>
      <w:spacing w:after="140" w:line="276" w:lineRule="auto"/>
    </w:pPr>
    <w:rPr>
      <w:rFonts w:ascii="Liberation Serif" w:eastAsia="Noto Serif CJK SC" w:hAnsi="Liberation Serif" w:cs="Lohit Devanagari"/>
      <w:kern w:val="3"/>
      <w:lang w:eastAsia="zh-CN" w:bidi="hi-IN"/>
      <w14:ligatures w14:val="none"/>
    </w:rPr>
  </w:style>
  <w:style w:type="character" w:styleId="Refdecomentario">
    <w:name w:val="annotation reference"/>
    <w:basedOn w:val="Fuentedeprrafopredeter"/>
    <w:uiPriority w:val="99"/>
    <w:semiHidden/>
    <w:unhideWhenUsed/>
    <w:rsid w:val="0060593F"/>
    <w:rPr>
      <w:sz w:val="16"/>
      <w:szCs w:val="16"/>
    </w:rPr>
  </w:style>
  <w:style w:type="paragraph" w:styleId="Textocomentario">
    <w:name w:val="annotation text"/>
    <w:basedOn w:val="Normal"/>
    <w:link w:val="TextocomentarioCar"/>
    <w:uiPriority w:val="99"/>
    <w:semiHidden/>
    <w:unhideWhenUsed/>
    <w:rsid w:val="0060593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0593F"/>
    <w:rPr>
      <w:sz w:val="20"/>
      <w:szCs w:val="20"/>
    </w:rPr>
  </w:style>
  <w:style w:type="paragraph" w:styleId="Asuntodelcomentario">
    <w:name w:val="annotation subject"/>
    <w:basedOn w:val="Textocomentario"/>
    <w:next w:val="Textocomentario"/>
    <w:link w:val="AsuntodelcomentarioCar"/>
    <w:uiPriority w:val="99"/>
    <w:semiHidden/>
    <w:unhideWhenUsed/>
    <w:rsid w:val="0060593F"/>
    <w:rPr>
      <w:b/>
      <w:bCs/>
    </w:rPr>
  </w:style>
  <w:style w:type="character" w:customStyle="1" w:styleId="AsuntodelcomentarioCar">
    <w:name w:val="Asunto del comentario Car"/>
    <w:basedOn w:val="TextocomentarioCar"/>
    <w:link w:val="Asuntodelcomentario"/>
    <w:uiPriority w:val="99"/>
    <w:semiHidden/>
    <w:rsid w:val="0060593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732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519</Words>
  <Characters>2888</Characters>
  <Application>Microsoft Office Word</Application>
  <DocSecurity>0</DocSecurity>
  <Lines>67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Maria Camila Guevara Ramirez</cp:lastModifiedBy>
  <cp:revision>2</cp:revision>
  <dcterms:created xsi:type="dcterms:W3CDTF">2026-04-20T12:19:00Z</dcterms:created>
  <dcterms:modified xsi:type="dcterms:W3CDTF">2026-04-20T12:19:00Z</dcterms:modified>
</cp:coreProperties>
</file>