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14:paraId="00000001">
      <w:pPr>
        <w:pStyle w:val="Title"/>
        <w:spacing w:after="200" w:before="240" w:lineRule="auto"/>
        <w:rPr/>
      </w:pPr>
      <w:bookmarkStart w:colFirst="0" w:colLast="0" w:name="_heading=h.plxsu1nmqu48" w:id="0"/>
      <w:bookmarkEnd w:id="0"/>
      <w:r>
        <w:rPr>
          <w:rtl w:val="0"/>
        </w:rPr>
      </w:r>
    </w:p>
    <w:p w14:paraId="00000002">
      <w:pPr>
        <w:rPr/>
      </w:pPr>
      <w:r>
        <w:rPr>
          <w:rtl w:val="0"/>
        </w:rPr>
      </w:r>
    </w:p>
    <w:p w14:paraId="00000003">
      <w:pPr>
        <w:rPr/>
      </w:pPr>
      <w:r>
        <w:rPr>
          <w:rtl w:val="0"/>
        </w:rPr>
      </w:r>
    </w:p>
    <w:p w14:paraId="00000004">
      <w:pPr>
        <w:pStyle w:val="Title"/>
        <w:spacing w:after="200" w:before="240" w:lineRule="auto"/>
        <w:rPr/>
      </w:pPr>
      <w:bookmarkStart w:colFirst="0" w:colLast="0" w:name="_heading=h.iygpj3gzq5ll" w:id="1"/>
      <w:bookmarkEnd w:id="1"/>
      <w:r>
        <w:rPr/>
        <mc:AlternateContent>
          <mc:Choice Requires="wpg"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151650" y="3666150"/>
                          <a:ext cx="4388700" cy="2277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57150" distT="57150" distL="57150" distR="57150">
                <wp:extent cx="1485900" cy="92432"/>
                <wp:effectExtent b="0" l="0" r="0" t="0"/>
                <wp:docPr descr="Decorative black rule used in the memo template." id="1" name="image6.png"/>
                <a:graphic>
                  <a:graphicData uri="http://schemas.openxmlformats.org/drawingml/2006/picture">
                    <pic:pic>
                      <pic:nvPicPr>
                        <pic:cNvPr descr="Decorative black rule used in the memo template."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900" cy="9243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rtl w:val="0"/>
        </w:rPr>
      </w:r>
    </w:p>
    <w:p w14:paraId="00000005">
      <w:pPr>
        <w:pStyle w:val="Title"/>
        <w:spacing w:after="200" w:before="240" w:line="240" w:lineRule="auto"/>
        <w:rPr>
          <w:b w:val="1"/>
          <w:bCs w:val="1"/>
          <w:sz w:val="80"/>
          <w:szCs w:val="80"/>
        </w:rPr>
      </w:pPr>
      <w:r>
        <w:t>Memorando para Comitê de Investimento</w:t>
      </w:r>
    </w:p>
    <w:p w14:paraId="00000006">
      <w:pPr>
        <w:rPr/>
      </w:pPr>
      <w:r>
        <w:rPr>
          <w:rtl w:val="0"/>
        </w:rPr>
      </w:r>
    </w:p>
    <w:p w14:paraId="00000007">
      <w:pPr>
        <w:rPr/>
      </w:pPr>
      <w:r>
        <w:rPr>
          <w:rtl w:val="0"/>
        </w:rPr>
      </w:r>
    </w:p>
    <w:p w14:paraId="00000008">
      <w:pPr>
        <w:spacing w:after="200" w:lineRule="auto"/>
        <w:rPr>
          <w:color w:val="666666"/>
        </w:rPr>
      </w:pPr>
      <w:r>
        <w:t>Polaris / Hub Imports  ·  Decisão de prontidão para lançamento público</w:t>
      </w:r>
    </w:p>
    <w:p w14:paraId="00000009">
      <w:pPr>
        <w:spacing w:after="200" w:lineRule="auto"/>
        <w:rPr/>
      </w:pPr>
      <w:r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gridCol w:w="3330"/>
        <w:gridCol w:w="1485"/>
        <w:gridCol w:w="3150"/>
        <w:tblGridChange w:id="0">
          <w:tblGrid>
            <w:gridCol w:w="1335"/>
            <w:gridCol w:w="3330"/>
            <w:gridCol w:w="1485"/>
            <w:gridCol w:w="315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top w:color="e6e6e6" w:space="0" w:sz="7" w:val="single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Para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Comitê de Investimento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Data</w:t>
            </w:r>
          </w:p>
        </w:tc>
        <w:tc>
          <w:tcPr>
            <w:tcBorders>
              <w:top w:color="e6e6e6" w:space="0" w:sz="7" w:val="single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14 de julho de 2026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Produto e Engenharia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Para decisão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Decisão solicitada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Autorizar execução controlada; adiar release público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Compromisso atual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Não informado</w:t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tcBorders>
              <w:top w:color="000000" w:space="0" w:sz="0" w:val="nil"/>
              <w:left w:color="e6e6e6" w:space="0" w:sz="7" w:val="single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Modelo 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Não fornecido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7f7f7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Moeda / escala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6e6e6" w:space="0" w:sz="7" w:val="single"/>
              <w:right w:color="e6e6e6" w:space="0" w:sz="7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40.0" w:type="dxa"/>
            </w:tcMar>
            <w:vAlign w:val="center"/>
          </w:tcPr>
          <w:p>
            <w:r>
              <w:t>Não aplicável</w:t>
            </w:r>
          </w:p>
        </w:tc>
      </w:tr>
    </w:tbl>
    <w:p w14:paraId="0000001A">
      <w:pPr>
        <w:spacing w:after="200" w:before="320" w:lineRule="auto"/>
        <w:rPr>
          <w:b w:val="1"/>
          <w:bCs w:val="1"/>
        </w:rPr>
      </w:pPr>
      <w:r>
        <w:rPr>
          <w:rtl w:val="0"/>
        </w:rPr>
      </w:r>
    </w:p>
    <w:p w14:paraId="0000001B">
      <w:pPr>
        <w:spacing w:after="200" w:before="320" w:lineRule="auto"/>
        <w:rPr>
          <w:b w:val="1"/>
          <w:bCs w:val="1"/>
        </w:rPr>
      </w:pPr>
      <w:r>
        <w:br w:type="page"/>
      </w:r>
      <w:r>
        <w:rPr>
          <w:rtl w:val="0"/>
        </w:rPr>
      </w:r>
    </w:p>
    <w:p w14:paraId="0000001C">
      <w:pPr>
        <w:pStyle w:val="Heading1"/>
        <w:keepNext w:val="1"/>
        <w:pageBreakBefore w:val="0"/>
        <w:spacing w:after="200" w:before="320" w:line="240" w:lineRule="auto"/>
        <w:rPr/>
      </w:pPr>
      <w:r>
        <w:t>1. Resumo executivo, recomendação e decisão solicitada</w:t>
      </w:r>
    </w:p>
    <w:p w14:paraId="0000001D">
      <w:pPr>
        <w:keepNext w:val="0"/>
        <w:pageBreakBefore w:val="0"/>
        <w:spacing w:after="160" w:before="60" w:line="240" w:lineRule="auto"/>
        <w:rPr/>
      </w:pPr>
      <w:r>
        <w:t>Recomendação: adiar a autorização de lançamento público. Autorizar apenas a execução controlada do plano de implementação por PRs, com liberação condicionada às evidências de segurança, confiabilidade, privacidade e provedores. Nenhum aporte, valuation ou desembolso é solicitado neste memorando.</w:t>
      </w:r>
    </w:p>
    <w:tbl>
      <w:tblPr>
        <w:tblStyle w:val="Table2"/>
        <w:tblW w:w="9425.0" w:type="dxa"/>
        <w:jc w:val="left"/>
        <w:tblBorders>
          <w:top w:color="e6e6e6" w:space="0" w:sz="4" w:val="single"/>
          <w:left w:color="e6e6e6" w:space="0" w:sz="4" w:val="single"/>
          <w:bottom w:color="e6e6e6" w:space="0" w:sz="4" w:val="single"/>
          <w:right w:color="e6e6e6" w:space="0" w:sz="4" w:val="single"/>
          <w:insideH w:color="e6e6e6" w:space="0" w:sz="4" w:val="single"/>
          <w:insideV w:color="e6e6e6" w:space="0" w:sz="4" w:val="single"/>
        </w:tblBorders>
        <w:tblLayout w:type="fixed"/>
        <w:tblLook w:val="0600"/>
      </w:tblPr>
      <w:tblGrid>
        <w:gridCol w:w="1937"/>
        <w:gridCol w:w="1906"/>
        <w:gridCol w:w="1891"/>
        <w:gridCol w:w="1861"/>
        <w:gridCol w:w="1830"/>
        <w:tblGridChange w:id="0">
          <w:tblGrid>
            <w:gridCol w:w="1937"/>
            <w:gridCol w:w="1906"/>
            <w:gridCol w:w="1891"/>
            <w:gridCol w:w="1861"/>
            <w:gridCol w:w="1830"/>
          </w:tblGrid>
        </w:tblGridChange>
      </w:tblGrid>
      <w:tr>
        <w:trPr>
          <w:cantSplit w:val="0"/>
          <w:trHeight w:val="334" w:hRule="atLeast"/>
          <w:tblHeader w:val="1"/>
        </w:trPr>
        <w:tc>
          <w:tcPr>
            <w:tcMar>
              <w:top w:w="120.0" w:type="dxa"/>
              <w:left w:w="140.0" w:type="dxa"/>
              <w:bottom w:w="120.0" w:type="dxa"/>
              <w:right w:w="140.0" w:type="dxa"/>
            </w:tcMar>
          </w:tcPr>
          <w:p>
            <w:r>
              <w:t>Montante solicitado agora</w:t>
            </w:r>
          </w:p>
        </w:tc>
        <w:tc>
          <w:tcPr>
            <w:tcMar>
              <w:top w:w="120.0" w:type="dxa"/>
              <w:left w:w="140.0" w:type="dxa"/>
              <w:bottom w:w="120.0" w:type="dxa"/>
              <w:right w:w="140.0" w:type="dxa"/>
            </w:tcMar>
          </w:tcPr>
          <w:p>
            <w:r>
              <w:t>Exposição potencial total</w:t>
            </w:r>
          </w:p>
        </w:tc>
        <w:tc>
          <w:tcPr>
            <w:tcMar>
              <w:top w:w="120.0" w:type="dxa"/>
              <w:left w:w="140.0" w:type="dxa"/>
              <w:bottom w:w="120.0" w:type="dxa"/>
              <w:right w:w="140.0" w:type="dxa"/>
            </w:tcMar>
          </w:tcPr>
          <w:p>
            <w:r>
              <w:t>Valuation / preço de entrada</w:t>
            </w:r>
          </w:p>
        </w:tc>
        <w:tc>
          <w:tcPr>
            <w:tcMar>
              <w:top w:w="120.0" w:type="dxa"/>
              <w:left w:w="140.0" w:type="dxa"/>
              <w:bottom w:w="120.0" w:type="dxa"/>
              <w:right w:w="140.0" w:type="dxa"/>
            </w:tcMar>
          </w:tcPr>
          <w:p>
            <w:r>
              <w:t>Retorno cenário-base</w:t>
            </w:r>
          </w:p>
        </w:tc>
        <w:tc>
          <w:tcPr>
            <w:shd w:fill="111111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>
            <w:r>
              <w:t>KPI operacional primário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>Não informado</w:t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>Não informado</w:t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>Não aplicável</w:t>
            </w:r>
          </w:p>
        </w:tc>
        <w:tc>
          <w:tcPr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>Não aplicável</w:t>
            </w:r>
          </w:p>
        </w:tc>
        <w:tc>
          <w:tcPr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>
            <w:r>
              <w:t>Evidências de release promovidas: pendentes</w:t>
            </w:r>
          </w:p>
        </w:tc>
      </w:tr>
    </w:tbl>
    <w:p w14:paraId="00000028">
      <w:pPr>
        <w:keepNext w:val="0"/>
        <w:pageBreakBefore w:val="0"/>
        <w:spacing w:after="20" w:before="0" w:line="240" w:lineRule="auto"/>
        <w:rPr/>
      </w:pPr>
      <w:r>
        <w:rPr>
          <w:rtl w:val="0"/>
        </w:rPr>
      </w:r>
    </w:p>
    <w:p w14:paraId="00000029">
      <w:pPr>
        <w:keepNext w:val="0"/>
        <w:pageBreakBefore w:val="0"/>
        <w:pBdr>
          <w:left w:color="111111" w:space="5" w:sz="16" w:val="single"/>
        </w:pBdr>
        <w:shd w:fill="f7f7f7" w:val="clear"/>
        <w:spacing w:after="180" w:before="60" w:line="240" w:lineRule="auto"/>
        <w:ind w:left="140" w:right="140" w:firstLine="0"/>
        <w:rPr/>
      </w:pPr>
      <w:r>
        <w:t>Definições de capital: não há compromisso atual, montante solicitado, capital condicional nem exposição financeira informados. O objeto desta decisão é governança de lançamento, não uma transação de investimento.</w:t>
      </w:r>
    </w:p>
    <w:p w14:paraId="0000002A">
      <w:pPr>
        <w:pStyle w:val="Heading2"/>
        <w:keepNext w:val="1"/>
        <w:pageBreakBefore w:val="0"/>
        <w:spacing w:after="80" w:before="140" w:line="240" w:lineRule="auto"/>
        <w:rPr/>
      </w:pPr>
      <w:r>
        <w:t>Decisão e exposição</w:t>
      </w:r>
    </w:p>
    <w:tbl>
      <w:tblPr>
        <w:tblStyle w:val="Table3"/>
        <w:tblW w:w="9345.0" w:type="dxa"/>
        <w:jc w:val="left"/>
        <w:tblLayout w:type="fixed"/>
        <w:tblLook w:val="0400"/>
      </w:tblPr>
      <w:tblGrid>
        <w:gridCol w:w="2200"/>
        <w:gridCol w:w="1150"/>
        <w:gridCol w:w="3600"/>
        <w:gridCol w:w="2395"/>
        <w:tblGridChange w:id="0">
          <w:tblGrid>
            <w:gridCol w:w="2200"/>
            <w:gridCol w:w="1150"/>
            <w:gridCol w:w="3600"/>
            <w:gridCol w:w="239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Componente de capital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Montante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Autorização / momento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Incluído no retorno?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Compromisso atual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Montante solicitado agora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Não há pedido financeiro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Capital futuro condicional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Exposição potencial total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</w:tr>
    </w:tbl>
    <w:p w14:paraId="0000003F">
      <w:pPr>
        <w:keepNext w:val="0"/>
        <w:pageBreakBefore w:val="0"/>
        <w:spacing w:after="20" w:before="0" w:line="240" w:lineRule="auto"/>
        <w:rPr/>
      </w:pPr>
      <w:r>
        <w:rPr>
          <w:rtl w:val="0"/>
        </w:rPr>
      </w:r>
    </w:p>
    <w:p w14:paraId="00000040">
      <w:pPr>
        <w:pStyle w:val="Heading2"/>
        <w:keepNext w:val="1"/>
        <w:pageBreakBefore w:val="0"/>
        <w:spacing w:after="80" w:before="140" w:line="240" w:lineRule="auto"/>
        <w:rPr/>
      </w:pPr>
      <w:r>
        <w:t>Visão geral da tese</w:t>
      </w:r>
    </w:p>
    <w:p w14:paraId="00000041"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t>Por que avançar? O produto tem escopo individual de lançamento e decisões normativas consolidadas para organização, catálogo, estoque, vendas operacionais, metas, billing e suporte.</w:t>
      </w:r>
    </w:p>
    <w:p w14:paraId="00000042"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t>Evidência principal: DEC-BR-001 a DEC-BR-085, perfis individuais de regra, matriz de aderência e plano de execução já distinguem comportamento aprovado do estado atual do código.</w:t>
      </w:r>
    </w:p>
    <w:p w14:paraId="00000043"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t>O que pode falhar? A implementação atual ainda é parcial ou contraditória em tenancy, billing/entitlements, estoque, vendas e privacidade; liberar antes de corrigir esses pontos elevaria risco operacional e de segurança.</w:t>
      </w:r>
    </w:p>
    <w:p w14:paraId="00000044">
      <w:pPr>
        <w:keepNext w:val="0"/>
        <w:pageBreakBefore w:val="0"/>
        <w:numPr>
          <w:ilvl w:val="0"/>
          <w:numId w:val="1"/>
        </w:numPr>
        <w:spacing w:after="100" w:before="20" w:line="240" w:lineRule="auto"/>
        <w:ind w:left="720" w:hanging="360"/>
        <w:rPr/>
      </w:pPr>
      <w:r>
        <w:t>A decisão recomendada compensa o risco ao não autorizar lançamento público antes de provas promovidas. Não há dados financeiros para avaliar retorno ou preço.</w:t>
      </w:r>
    </w:p>
    <w:p w14:paraId="00000045">
      <w:pPr>
        <w:keepNext w:val="0"/>
        <w:pageBreakBefore w:val="0"/>
        <w:spacing w:after="160" w:before="60" w:line="240" w:lineRule="auto"/>
        <w:rPr/>
      </w:pPr>
      <w:r>
        <w:t>Destaques: escopo individual definido · 85 decisões registradas · execução organizada em PRs dependentes</w:t>
      </w:r>
    </w:p>
    <w:p w14:paraId="00000046">
      <w:pPr>
        <w:keepNext w:val="0"/>
        <w:pageBreakBefore w:val="0"/>
        <w:spacing w:after="160" w:before="60" w:line="240" w:lineRule="auto"/>
        <w:rPr/>
      </w:pPr>
      <w:r>
        <w:t>Riscos principais: isolamento entre tenants · billing e webhooks · gates legais e operacionais</w:t>
      </w:r>
    </w:p>
    <w:p w14:paraId="00000047">
      <w:pPr>
        <w:pStyle w:val="Heading1"/>
        <w:keepNext w:val="1"/>
        <w:pageBreakBefore w:val="1"/>
        <w:spacing w:after="200" w:before="320" w:line="240" w:lineRule="auto"/>
        <w:rPr/>
      </w:pPr>
      <w:r>
        <w:t>2. Tese de investimento</w:t>
      </w:r>
    </w:p>
    <w:p w14:paraId="00000048">
      <w:pPr>
        <w:pStyle w:val="Heading2"/>
        <w:keepNext w:val="1"/>
        <w:pageBreakBefore w:val="0"/>
        <w:spacing w:after="80" w:before="140" w:line="240" w:lineRule="auto"/>
        <w:rPr/>
      </w:pPr>
      <w:r>
        <w:t>Escopo de lançamento definido</w:t>
      </w:r>
    </w:p>
    <w:p w14:paraId="00000049">
      <w:pPr>
        <w:keepNext w:val="0"/>
        <w:keepLines w:val="1"/>
        <w:pageBreakBefore w:val="0"/>
        <w:spacing w:after="180" w:before="0" w:line="240" w:lineRule="auto"/>
        <w:rPr/>
      </w:pPr>
      <w:r>
        <w:t>Acreditamos que o lançamento pode avançar de forma controlada porque DEC-BR-085 limita o produto a uma organização individual, catálogo, estoque, vendas operacionais, metas, billing e suporte. A evidência é o registro de decisões e a norma v1.2.0, ambos de 2026-07-14. A tese exige implementação e testes proporcionais; se falhar, o lançamento público permanece bloqueado.</w:t>
      </w:r>
    </w:p>
    <w:p w14:paraId="0000004A">
      <w:pPr>
        <w:pStyle w:val="Heading2"/>
        <w:keepNext w:val="1"/>
        <w:pageBreakBefore w:val="0"/>
        <w:spacing w:after="80" w:before="140" w:line="240" w:lineRule="auto"/>
        <w:rPr/>
      </w:pPr>
      <w:r>
        <w:t>Controles de risco incorporados ao desenho</w:t>
      </w:r>
    </w:p>
    <w:p w14:paraId="0000004B">
      <w:pPr>
        <w:keepNext w:val="0"/>
        <w:keepLines w:val="1"/>
        <w:pageBreakBefore w:val="0"/>
        <w:spacing w:after="180" w:before="0" w:line="240" w:lineRule="auto"/>
        <w:rPr/>
      </w:pPr>
      <w:r>
        <w:t>Acreditamos que a norma reduz risco de produto por explicitar Free/pago, downgrade, um owner, idempotência, auditoria, retenção e observabilidade. A evidência é a matriz de aderência e as decisões DEC-BR-064 a 085, de 2026-07-14. A tese exige enforcement em aplicação, banco e jobs; sem isso, a norma não prova comportamento real.</w:t>
      </w:r>
    </w:p>
    <w:p w14:paraId="0000004C">
      <w:pPr>
        <w:pStyle w:val="Heading2"/>
        <w:keepNext w:val="1"/>
        <w:pageBreakBefore w:val="0"/>
        <w:spacing w:after="80" w:before="140" w:line="240" w:lineRule="auto"/>
        <w:rPr/>
      </w:pPr>
      <w:r>
        <w:t>Execução faseada e verificável</w:t>
      </w:r>
    </w:p>
    <w:p w14:paraId="0000004D">
      <w:pPr>
        <w:keepNext w:val="0"/>
        <w:keepLines w:val="1"/>
        <w:pageBreakBefore w:val="0"/>
        <w:spacing w:after="180" w:before="0" w:line="240" w:lineRule="auto"/>
        <w:rPr/>
      </w:pPr>
      <w:r>
        <w:t>Acreditamos que o plano faseado reduz a superfície de regressão ao ordenar tenancy/entitlements, billing, catálogo, ledger, vendas, metas, privacidade e release. A evidência é implementation-plan.md, de 2026-07-14. A tese exige critérios de aceite e gates externos em cada etapa; se qualquer gate não for comprovado, não há autorização de release.</w:t>
      </w:r>
    </w:p>
    <w:p w14:paraId="0000004E">
      <w:pPr>
        <w:pStyle w:val="Heading1"/>
        <w:keepNext w:val="1"/>
        <w:pageBreakBefore w:val="0"/>
        <w:spacing w:after="200" w:before="320" w:line="240" w:lineRule="auto"/>
        <w:rPr/>
      </w:pPr>
      <w:r>
        <w:t>3. Empresa e produto</w:t>
      </w:r>
    </w:p>
    <w:p w14:paraId="0000004F">
      <w:pPr>
        <w:pStyle w:val="Heading2"/>
        <w:keepNext w:val="1"/>
        <w:pageBreakBefore w:val="0"/>
        <w:spacing w:after="80" w:before="140" w:line="240" w:lineRule="auto"/>
        <w:rPr/>
      </w:pPr>
      <w:r>
        <w:t>Visão geral do negócio</w:t>
      </w:r>
    </w:p>
    <w:p w14:paraId="00000050">
      <w:pPr>
        <w:keepNext w:val="0"/>
        <w:keepLines w:val="1"/>
        <w:pageBreakBefore w:val="0"/>
        <w:spacing w:after="180" w:before="0" w:line="240" w:lineRule="auto"/>
        <w:rPr/>
      </w:pPr>
      <w:r>
        <w:t>Polaris / Hub Imports é um produto SaaS em preparação para lançamento no Brasil. O escopo aprovado é individual, sem colaboração, fornecedores, compras, importação fiscal, refunds de vendas ou novas integrações no lançamento. Esta descrição reflete a decisão DEC-BR-085; estágio comercial e estrutura societária não foram fornecidos.</w:t>
      </w:r>
    </w:p>
    <w:p w14:paraId="00000051">
      <w:pPr>
        <w:pStyle w:val="Heading2"/>
        <w:keepNext w:val="1"/>
        <w:pageBreakBefore w:val="0"/>
        <w:spacing w:after="80" w:before="140" w:line="240" w:lineRule="auto"/>
        <w:rPr/>
      </w:pPr>
      <w:r>
        <w:t>Produto e valor ao cliente</w:t>
      </w:r>
    </w:p>
    <w:p w14:paraId="00000052">
      <w:pPr>
        <w:keepNext w:val="0"/>
        <w:keepLines w:val="1"/>
        <w:pageBreakBefore w:val="0"/>
        <w:spacing w:after="180" w:before="0" w:line="240" w:lineRule="auto"/>
        <w:rPr/>
      </w:pPr>
      <w:r>
        <w:t>O produto permite que uma pessoa proprietária de uma organização administre catálogo, imagens, estoque, vendas operacionais e metas. O plano pago mensal aprovado custa R$ 49,90 e há plano Free com capacidades reduzidas. O benefício mensurável ao cliente não foi demonstrado em dados de uso ou receita.</w:t>
      </w:r>
    </w:p>
    <w:p w14:paraId="00000053">
      <w:pPr>
        <w:pStyle w:val="Heading2"/>
        <w:keepNext w:val="1"/>
        <w:pageBreakBefore w:val="0"/>
        <w:spacing w:after="80" w:before="140" w:line="240" w:lineRule="auto"/>
        <w:rPr/>
      </w:pPr>
      <w:r>
        <w:t>Cliente e caso de uso</w:t>
      </w:r>
    </w:p>
    <w:p w14:paraId="00000054">
      <w:pPr>
        <w:keepNext w:val="0"/>
        <w:keepLines w:val="1"/>
        <w:pageBreakBefore w:val="0"/>
        <w:spacing w:after="180" w:before="0" w:line="240" w:lineRule="auto"/>
        <w:rPr/>
      </w:pPr>
      <w:r>
        <w:t>O usuário prioritário inferido do escopo é o proprietário individual que opera o próprio catálogo e estoque. Segmentos, processo de compra, concentração de clientes e evidência de adoção não foram fornecidos; este memorando não os assume.</w:t>
      </w:r>
    </w:p>
    <w:p w14:paraId="00000055">
      <w:pPr>
        <w:pStyle w:val="Heading2"/>
        <w:keepNext w:val="1"/>
        <w:pageBreakBefore w:val="0"/>
        <w:spacing w:after="80" w:before="140" w:line="240" w:lineRule="auto"/>
        <w:rPr/>
      </w:pPr>
      <w:r>
        <w:t>Diferenciação e defensabilidade</w:t>
      </w:r>
    </w:p>
    <w:p w14:paraId="00000056">
      <w:pPr>
        <w:keepNext w:val="0"/>
        <w:keepLines w:val="1"/>
        <w:pageBreakBefore w:val="0"/>
        <w:spacing w:after="180" w:before="0" w:line="240" w:lineRule="auto"/>
        <w:rPr/>
      </w:pPr>
      <w:r>
        <w:t>Não há estudo independente de diferenciação, concorrentes ou barreiras de entrada no material analisado. Não se faz alegação de defensabilidade comercial.</w:t>
      </w:r>
    </w:p>
    <w:p w14:paraId="00000057">
      <w:pPr>
        <w:pStyle w:val="Heading2"/>
        <w:keepNext w:val="1"/>
        <w:pageBreakBefore w:val="0"/>
        <w:spacing w:after="80" w:before="140" w:line="240" w:lineRule="auto"/>
        <w:rPr/>
      </w:pPr>
      <w:r>
        <w:t>Modelo operacional</w:t>
      </w:r>
    </w:p>
    <w:p w14:paraId="00000058">
      <w:pPr>
        <w:keepNext w:val="0"/>
        <w:keepLines w:val="1"/>
        <w:pageBreakBefore w:val="0"/>
        <w:spacing w:after="180" w:before="0" w:line="240" w:lineRule="auto"/>
        <w:rPr/>
      </w:pPr>
      <w:r>
        <w:t>A operação depende de serviços internos transacionais, banco com separação de privilégios e integrações de billing, e-mail, jobs e armazenamento. O release público exige comprovação de RLS, backup/restore, jobs, dead-letter, e-mail, R2/CORS/lifecycle e OAuth em ambiente promovido.</w:t>
      </w:r>
    </w:p>
    <w:p w14:paraId="00000059">
      <w:pPr>
        <w:keepNext w:val="0"/>
        <w:pageBreakBefore w:val="0"/>
        <w:spacing w:after="160" w:before="60" w:line="240" w:lineRule="auto"/>
        <w:rPr/>
      </w:pPr>
      <w:r>
        <w:t>Fontes: normative/README.md, decision-register.md, adherence-matrix.md, implementation-plan.md e research-decision-waves-2026-07-14.md; todos consultados em 2026-07-14.</w:t>
      </w:r>
    </w:p>
    <w:p w14:paraId="0000005A">
      <w:pPr>
        <w:pStyle w:val="Heading1"/>
        <w:keepNext w:val="1"/>
        <w:pageBreakBefore w:val="1"/>
        <w:spacing w:after="200" w:before="320" w:line="240" w:lineRule="auto"/>
        <w:rPr/>
      </w:pPr>
      <w:r>
        <w:t>4. TAM e oportunidade de mercado</w:t>
      </w:r>
    </w:p>
    <w:p w14:paraId="0000005B">
      <w:pPr>
        <w:pStyle w:val="Heading2"/>
        <w:keepNext w:val="1"/>
        <w:pageBreakBefore w:val="0"/>
        <w:spacing w:after="80" w:before="140" w:line="240" w:lineRule="auto"/>
        <w:rPr/>
      </w:pPr>
      <w:r>
        <w:t>Definição e tamanho do mercado</w:t>
      </w:r>
    </w:p>
    <w:p w14:paraId="0000005C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TAM, metodologia, geografia comercial detalhada, período ou fonte de mercado verificável no material analisado.</w:t>
      </w:r>
    </w:p>
    <w:p w14:paraId="0000005D">
      <w:pPr>
        <w:keepNext w:val="1"/>
        <w:pageBreakBefore w:val="0"/>
        <w:spacing w:after="60" w:before="60" w:line="240" w:lineRule="auto"/>
        <w:jc w:val="center"/>
        <w:rPr/>
      </w:pPr>
      <w:r>
        <w:rPr/>
        <w:drawing/>
      </w:r>
      <w:r>
        <w:rPr>
          <w:rtl w:val="0"/>
        </w:rPr>
      </w:r>
    </w:p>
    <w:p w14:paraId="0000005E">
      <w:pPr>
        <w:keepNext w:val="0"/>
        <w:pageBreakBefore w:val="0"/>
        <w:spacing w:after="180" w:before="0" w:line="240" w:lineRule="auto"/>
        <w:jc w:val="left"/>
        <w:rPr/>
      </w:pPr>
      <w:r>
        <w:t>Figura 1 não incluída: não há dados de mercado fornecidos para dimensionamento.</w:t>
      </w:r>
    </w:p>
    <w:p w14:paraId="0000005F">
      <w:pPr>
        <w:pStyle w:val="Heading2"/>
        <w:keepNext w:val="1"/>
        <w:pageBreakBefore w:val="0"/>
        <w:spacing w:after="80" w:before="140" w:line="240" w:lineRule="auto"/>
        <w:rPr/>
      </w:pPr>
      <w:r>
        <w:t>Mercado alcançável</w:t>
      </w:r>
    </w:p>
    <w:p w14:paraId="00000060">
      <w:pPr>
        <w:keepNext w:val="0"/>
        <w:keepLines w:val="1"/>
        <w:pageBreakBefore w:val="0"/>
        <w:spacing w:after="180" w:before="0" w:line="240" w:lineRule="auto"/>
        <w:rPr/>
      </w:pPr>
      <w:r>
        <w:t>Não fornecido. SAM, mercado alcançável e hipótese de captura exigem pesquisa de mercado própria antes de qualquer decisão financeira.</w:t>
      </w:r>
    </w:p>
    <w:p w14:paraId="00000061">
      <w:pPr>
        <w:pStyle w:val="Heading2"/>
        <w:keepNext w:val="1"/>
        <w:pageBreakBefore w:val="0"/>
        <w:spacing w:after="80" w:before="140" w:line="240" w:lineRule="auto"/>
        <w:rPr/>
      </w:pPr>
      <w:r>
        <w:t>Crescimento e vetores de demanda</w:t>
      </w:r>
    </w:p>
    <w:p w14:paraId="00000062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evidência independente sobre crescimento, demanda, adoção ou restrições cíclicas.</w:t>
      </w:r>
    </w:p>
    <w:p w14:paraId="00000063">
      <w:pPr>
        <w:pStyle w:val="Heading2"/>
        <w:keepNext w:val="1"/>
        <w:pageBreakBefore w:val="0"/>
        <w:spacing w:after="80" w:before="140" w:line="240" w:lineRule="auto"/>
        <w:rPr/>
      </w:pPr>
      <w:r>
        <w:t>Implicação para a decisão</w:t>
      </w:r>
    </w:p>
    <w:p w14:paraId="00000064">
      <w:pPr>
        <w:keepNext w:val="0"/>
        <w:keepLines w:val="1"/>
        <w:pageBreakBefore w:val="0"/>
        <w:spacing w:after="180" w:before="0" w:line="240" w:lineRule="auto"/>
        <w:rPr/>
      </w:pPr>
      <w:r>
        <w:t>Sem tamanho de mercado ou previsão, não é possível converter oportunidade em premissas de retorno. Isso não impede a decisão técnica de manter o release bloqueado até os gates serem cumpridos.</w:t>
      </w:r>
    </w:p>
    <w:p w14:paraId="00000065">
      <w:pPr>
        <w:pStyle w:val="Heading1"/>
        <w:keepNext w:val="1"/>
        <w:pageBreakBefore w:val="1"/>
        <w:spacing w:after="200" w:before="320" w:line="240" w:lineRule="auto"/>
        <w:rPr/>
      </w:pPr>
      <w:r>
        <w:t>5. Capitalização, valor de mercado e participação</w:t>
      </w:r>
    </w:p>
    <w:p w14:paraId="00000066">
      <w:pPr>
        <w:keepNext w:val="0"/>
        <w:pageBreakBefore w:val="0"/>
        <w:pBdr>
          <w:left w:color="111111" w:space="5" w:sz="16" w:val="single"/>
        </w:pBdr>
        <w:shd w:fill="f7f7f7" w:val="clear"/>
        <w:spacing w:after="180" w:before="60" w:line="240" w:lineRule="auto"/>
        <w:ind w:left="140" w:right="140" w:firstLine="0"/>
        <w:rPr/>
      </w:pPr>
      <w:r>
        <w:t>Aplicabilidade: não aplicável. Não foi apresentada transação societária ou financeira.</w:t>
      </w:r>
    </w:p>
    <w:p w14:paraId="00000067">
      <w:pPr>
        <w:pStyle w:val="Heading2"/>
        <w:keepNext w:val="1"/>
        <w:pageBreakBefore w:val="0"/>
        <w:spacing w:after="80" w:before="140" w:line="240" w:lineRule="auto"/>
        <w:rPr/>
      </w:pPr>
      <w:r>
        <w:t>Capitalização atual</w:t>
      </w:r>
    </w:p>
    <w:p w14:paraId="00000068">
      <w:pPr>
        <w:keepNext w:val="0"/>
        <w:keepLines w:val="1"/>
        <w:pageBreakBefore w:val="0"/>
        <w:spacing w:after="180" w:before="0" w:line="240" w:lineRule="auto"/>
        <w:rPr/>
      </w:pPr>
      <w:r>
        <w:t>Não aplicável. Cap table, dívida, caixa, equity value e enterprise value não foram fornecidos.</w:t>
      </w:r>
    </w:p>
    <w:p w14:paraId="00000069">
      <w:pPr>
        <w:pStyle w:val="Heading2"/>
        <w:keepNext w:val="1"/>
        <w:pageBreakBefore w:val="0"/>
        <w:spacing w:after="80" w:before="140" w:line="240" w:lineRule="auto"/>
        <w:rPr/>
      </w:pPr>
      <w:r>
        <w:t>Capitalização pro forma</w:t>
      </w:r>
    </w:p>
    <w:p w14:paraId="0000006A">
      <w:pPr>
        <w:keepNext w:val="0"/>
        <w:keepLines w:val="1"/>
        <w:pageBreakBefore w:val="0"/>
        <w:spacing w:after="180" w:before="0" w:line="240" w:lineRule="auto"/>
        <w:rPr/>
      </w:pPr>
      <w:r>
        <w:t>Não aplicável. Não há novas ações, dívida, diluição ou efeitos de controle propostos.</w:t>
      </w:r>
    </w:p>
    <w:p w14:paraId="0000006B">
      <w:pPr>
        <w:keepNext w:val="1"/>
        <w:pageBreakBefore w:val="0"/>
        <w:spacing w:after="60" w:before="60" w:line="240" w:lineRule="auto"/>
        <w:jc w:val="center"/>
        <w:rPr/>
      </w:pPr>
      <w:r>
        <w:rPr/>
        <w:drawing/>
      </w:r>
      <w:r>
        <w:rPr>
          <w:rtl w:val="0"/>
        </w:rPr>
      </w:r>
    </w:p>
    <w:p w14:paraId="0000006C">
      <w:pPr>
        <w:keepNext w:val="0"/>
        <w:pageBreakBefore w:val="0"/>
        <w:spacing w:after="180" w:before="0" w:line="240" w:lineRule="auto"/>
        <w:jc w:val="left"/>
        <w:rPr/>
      </w:pPr>
      <w:r>
        <w:t>Figura 2 não incluída: cap table e participação não foram fornecidos.</w:t>
      </w:r>
    </w:p>
    <w:p w14:paraId="0000006D">
      <w:pPr>
        <w:pStyle w:val="Heading2"/>
        <w:keepNext w:val="1"/>
        <w:pageBreakBefore w:val="0"/>
        <w:spacing w:after="80" w:before="140" w:line="240" w:lineRule="auto"/>
        <w:rPr/>
      </w:pPr>
      <w:r>
        <w:t>Participação e governança</w:t>
      </w:r>
    </w:p>
    <w:p w14:paraId="0000006E">
      <w:pPr>
        <w:keepNext w:val="0"/>
        <w:keepLines w:val="1"/>
        <w:pageBreakBefore w:val="0"/>
        <w:spacing w:after="180" w:before="0" w:line="240" w:lineRule="auto"/>
        <w:rPr/>
      </w:pPr>
      <w:r>
        <w:t>Não aplicável. A governança disponível é operacional: uma pessoa é o único owner da organização no lançamento, enquanto grants de plataforma são temporários e auditados.</w:t>
      </w:r>
    </w:p>
    <w:p w14:paraId="0000006F">
      <w:pPr>
        <w:pStyle w:val="Heading2"/>
        <w:keepNext w:val="1"/>
        <w:pageBreakBefore w:val="0"/>
        <w:spacing w:after="80" w:before="140" w:line="240" w:lineRule="auto"/>
        <w:rPr/>
      </w:pPr>
      <w:r>
        <w:t>Implicação para a decisão</w:t>
      </w:r>
    </w:p>
    <w:p w14:paraId="00000070">
      <w:pPr>
        <w:keepNext w:val="0"/>
        <w:keepLines w:val="1"/>
        <w:pageBreakBefore w:val="0"/>
        <w:spacing w:after="180" w:before="0" w:line="240" w:lineRule="auto"/>
        <w:rPr/>
      </w:pPr>
      <w:r>
        <w:t>A ausência de dados de participação e governança societária impede avaliação de alinhamento de capital. A governança de produto, contudo, exige gates e auditoria antes do release.</w:t>
      </w:r>
    </w:p>
    <w:p w14:paraId="00000071">
      <w:pPr>
        <w:pStyle w:val="Heading1"/>
        <w:keepNext w:val="1"/>
        <w:pageBreakBefore w:val="1"/>
        <w:spacing w:after="200" w:before="320" w:line="240" w:lineRule="auto"/>
        <w:rPr/>
      </w:pPr>
      <w:r>
        <w:t>6. Concorrência e comparáveis</w:t>
      </w:r>
    </w:p>
    <w:p w14:paraId="00000072">
      <w:pPr>
        <w:pStyle w:val="Heading2"/>
        <w:keepNext w:val="1"/>
        <w:pageBreakBefore w:val="0"/>
        <w:spacing w:after="80" w:before="140" w:line="240" w:lineRule="auto"/>
        <w:rPr/>
      </w:pPr>
      <w:r>
        <w:t>Cenário competitivo</w:t>
      </w:r>
    </w:p>
    <w:p w14:paraId="00000073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mapa competitivo ou evidência comparativa independente.</w:t>
      </w:r>
    </w:p>
    <w:p w14:paraId="00000074">
      <w:pPr>
        <w:keepNext w:val="1"/>
        <w:pageBreakBefore w:val="0"/>
        <w:spacing w:after="60" w:before="60" w:line="240" w:lineRule="auto"/>
        <w:jc w:val="center"/>
        <w:rPr/>
      </w:pPr>
      <w:r>
        <w:rPr/>
        <w:drawing/>
      </w:r>
      <w:r>
        <w:rPr>
          <w:rtl w:val="0"/>
        </w:rPr>
      </w:r>
    </w:p>
    <w:p w14:paraId="00000075">
      <w:pPr>
        <w:keepNext w:val="0"/>
        <w:pageBreakBefore w:val="0"/>
        <w:spacing w:after="180" w:before="0" w:line="240" w:lineRule="auto"/>
        <w:jc w:val="left"/>
        <w:rPr/>
      </w:pPr>
      <w:r>
        <w:t>Figura 3 não incluída: não há benchmarks competitivos verificáveis.</w:t>
      </w:r>
    </w:p>
    <w:p w14:paraId="00000076">
      <w:pPr>
        <w:pStyle w:val="Heading2"/>
        <w:keepNext w:val="1"/>
        <w:pageBreakBefore w:val="0"/>
        <w:spacing w:after="80" w:before="140" w:line="240" w:lineRule="auto"/>
        <w:rPr/>
      </w:pPr>
      <w:r>
        <w:t>Comparáveis públicos e transacionais</w:t>
      </w:r>
    </w:p>
    <w:p w14:paraId="00000077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comparáveis públicos ou transacionais selecionados, nem métricas homogêneas para comparação.</w:t>
      </w:r>
    </w:p>
    <w:p w14:paraId="00000078">
      <w:pPr>
        <w:pStyle w:val="Heading2"/>
        <w:keepNext w:val="1"/>
        <w:pageBreakBefore w:val="0"/>
        <w:spacing w:after="80" w:before="140" w:line="240" w:lineRule="auto"/>
        <w:rPr/>
      </w:pPr>
      <w:r>
        <w:t>Conclusão de underwriting</w:t>
      </w:r>
    </w:p>
    <w:p w14:paraId="00000079">
      <w:pPr>
        <w:keepNext w:val="0"/>
        <w:keepLines w:val="1"/>
        <w:pageBreakBefore w:val="0"/>
        <w:spacing w:after="180" w:before="0" w:line="240" w:lineRule="auto"/>
        <w:rPr/>
      </w:pPr>
      <w:r>
        <w:t>Não é possível inferir preço de entrada, posicionamento ou retorno a partir das fontes disponíveis.</w:t>
      </w:r>
    </w:p>
    <w:p w14:paraId="0000007A">
      <w:pPr>
        <w:pStyle w:val="Heading1"/>
        <w:keepNext w:val="1"/>
        <w:pageBreakBefore w:val="0"/>
        <w:spacing w:after="200" w:before="320" w:line="240" w:lineRule="auto"/>
        <w:rPr/>
      </w:pPr>
      <w:r>
        <w:t>7. Equipe</w:t>
      </w:r>
    </w:p>
    <w:p w14:paraId="0000007B">
      <w:pPr>
        <w:pStyle w:val="Heading2"/>
        <w:keepNext w:val="1"/>
        <w:pageBreakBefore w:val="0"/>
        <w:spacing w:after="80" w:before="140" w:line="240" w:lineRule="auto"/>
        <w:rPr/>
      </w:pPr>
      <w:r>
        <w:t>Liderança e capacidade de execução</w:t>
      </w:r>
    </w:p>
    <w:p w14:paraId="0000007C">
      <w:pPr>
        <w:keepNext w:val="0"/>
        <w:keepLines w:val="1"/>
        <w:pageBreakBefore w:val="0"/>
        <w:spacing w:after="180" w:before="0" w:line="240" w:lineRule="auto"/>
        <w:rPr/>
      </w:pPr>
      <w:r>
        <w:t>Não foram fornecidos nomes, experiência, histórico ou disponibilidade da equipe. A avaliação limita-se às responsabilidades exigidas: Privacy Lead, Incident Commander e responsáveis por gates de plataforma devem ser nomeados antes do release público.</w:t>
      </w:r>
    </w:p>
    <w:p w14:paraId="0000007D">
      <w:pPr>
        <w:pStyle w:val="Heading2"/>
        <w:keepNext w:val="1"/>
        <w:pageBreakBefore w:val="0"/>
        <w:spacing w:after="80" w:before="140" w:line="240" w:lineRule="auto"/>
        <w:rPr/>
      </w:pPr>
      <w:r>
        <w:t>Incentivos e governança</w:t>
      </w:r>
    </w:p>
    <w:p w14:paraId="0000007E">
      <w:pPr>
        <w:keepNext w:val="0"/>
        <w:keepLines w:val="1"/>
        <w:pageBreakBefore w:val="0"/>
        <w:spacing w:after="180" w:before="0" w:line="240" w:lineRule="auto"/>
        <w:rPr/>
      </w:pPr>
      <w:r>
        <w:t>Não aplicável à participação societária. Para operação, apenas platform owner ativo pode gerir grants; leitura de PII exige motivo e auditoria, sem impersonation.</w:t>
      </w:r>
    </w:p>
    <w:p w14:paraId="0000007F">
      <w:pPr>
        <w:pStyle w:val="Heading2"/>
        <w:keepNext w:val="1"/>
        <w:pageBreakBefore w:val="0"/>
        <w:spacing w:after="80" w:before="140" w:line="240" w:lineRule="auto"/>
        <w:rPr/>
      </w:pPr>
      <w:r>
        <w:t>Lacunas de capacidade e risco de pessoa-chave</w:t>
      </w:r>
    </w:p>
    <w:p w14:paraId="00000080">
      <w:pPr>
        <w:keepNext w:val="0"/>
        <w:keepLines w:val="1"/>
        <w:pageBreakBefore w:val="0"/>
        <w:spacing w:after="180" w:before="0" w:line="240" w:lineRule="auto"/>
        <w:rPr/>
      </w:pPr>
      <w:r>
        <w:t>Lacunas confirmadas: designar titulares e suplentes para privacidade/incidentes, validar jurídico/contábil para retenção e homologaçao de providers/ambientes. Não há cronograma ou proprietário nominal fornecido.</w:t>
      </w:r>
    </w:p>
    <w:p w14:paraId="00000081">
      <w:pPr>
        <w:pStyle w:val="Heading2"/>
        <w:keepNext w:val="1"/>
        <w:pageBreakBefore w:val="0"/>
        <w:spacing w:after="80" w:before="140" w:line="240" w:lineRule="auto"/>
        <w:rPr/>
      </w:pPr>
      <w:r>
        <w:t>Conclusão de underwriting</w:t>
      </w:r>
    </w:p>
    <w:p w14:paraId="00000082">
      <w:pPr>
        <w:keepNext w:val="0"/>
        <w:keepLines w:val="1"/>
        <w:pageBreakBefore w:val="0"/>
        <w:spacing w:after="180" w:before="0" w:line="240" w:lineRule="auto"/>
        <w:rPr/>
      </w:pPr>
      <w:r>
        <w:t>A capacidade de execução não é verificável pelos materiais disponíveis. A aprovação recomendada é condicionada à nomeação de responsáveis e à demonstração dos gates de release.</w:t>
      </w:r>
    </w:p>
    <w:p w14:paraId="00000083">
      <w:pPr>
        <w:pStyle w:val="Heading1"/>
        <w:keepNext w:val="1"/>
        <w:pageBreakBefore w:val="0"/>
        <w:spacing w:after="200" w:before="320" w:line="240" w:lineRule="auto"/>
        <w:rPr/>
      </w:pPr>
      <w:r>
        <w:t>8. Tração e métricas operacionais</w:t>
      </w:r>
    </w:p>
    <w:p w14:paraId="00000084">
      <w:pPr>
        <w:pStyle w:val="Heading2"/>
        <w:keepNext w:val="1"/>
        <w:pageBreakBefore w:val="0"/>
        <w:spacing w:after="80" w:before="140" w:line="240" w:lineRule="auto"/>
        <w:rPr/>
      </w:pPr>
      <w:r>
        <w:t>Trajetória operacional</w:t>
      </w:r>
    </w:p>
    <w:p w14:paraId="00000085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histórico de usuários, receita, vendas, retenção, disponibilidade ou outra métrica operacional com período e definição verificáveis.</w:t>
      </w:r>
    </w:p>
    <w:p w14:paraId="00000086">
      <w:pPr>
        <w:keepNext w:val="1"/>
        <w:pageBreakBefore w:val="0"/>
        <w:spacing w:after="60" w:before="60" w:line="240" w:lineRule="auto"/>
        <w:jc w:val="center"/>
        <w:rPr/>
      </w:pPr>
      <w:r>
        <w:rPr/>
        <w:drawing/>
      </w:r>
      <w:r>
        <w:rPr>
          <w:rtl w:val="0"/>
        </w:rPr>
      </w:r>
    </w:p>
    <w:p w14:paraId="00000087">
      <w:pPr>
        <w:keepNext w:val="0"/>
        <w:pageBreakBefore w:val="0"/>
        <w:spacing w:after="180" w:before="0" w:line="240" w:lineRule="auto"/>
        <w:jc w:val="left"/>
        <w:rPr/>
      </w:pPr>
      <w:r>
        <w:t>Figura 4 não incluída: não há série histórica de KPI fornecida.</w:t>
      </w:r>
    </w:p>
    <w:p w14:paraId="00000088">
      <w:pPr>
        <w:pStyle w:val="Heading2"/>
        <w:keepNext w:val="1"/>
        <w:pageBreakBefore w:val="0"/>
        <w:spacing w:after="80" w:before="140" w:line="240" w:lineRule="auto"/>
        <w:rPr/>
      </w:pPr>
      <w:r>
        <w:t>Qualidade da tração</w:t>
      </w:r>
    </w:p>
    <w:p w14:paraId="00000089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coortes, retenção, concentração de clientes, sazonalidade ou dados contratados versus reconhecidos.</w:t>
      </w:r>
    </w:p>
    <w:p w14:paraId="0000008A">
      <w:pPr>
        <w:pStyle w:val="Heading2"/>
        <w:keepNext w:val="1"/>
        <w:pageBreakBefore w:val="0"/>
        <w:spacing w:after="80" w:before="140" w:line="240" w:lineRule="auto"/>
        <w:rPr/>
      </w:pPr>
      <w:r>
        <w:t>Referências e metas</w:t>
      </w:r>
    </w:p>
    <w:p w14:paraId="0000008B">
      <w:pPr>
        <w:keepNext w:val="0"/>
        <w:keepLines w:val="1"/>
        <w:pageBreakBefore w:val="0"/>
        <w:spacing w:after="180" w:before="0" w:line="240" w:lineRule="auto"/>
        <w:rPr/>
      </w:pPr>
      <w:r>
        <w:t>A única referência operacional disponível é a exigência de evidência promovida para todos os gates de release. Metas quantitativas e prazo não foram fornecidos.</w:t>
      </w:r>
    </w:p>
    <w:p w14:paraId="0000008C">
      <w:pPr>
        <w:pStyle w:val="Heading2"/>
        <w:keepNext w:val="1"/>
        <w:pageBreakBefore w:val="0"/>
        <w:spacing w:after="80" w:before="140" w:line="240" w:lineRule="auto"/>
        <w:rPr/>
      </w:pPr>
      <w:r>
        <w:t>Implicação e limitações</w:t>
      </w:r>
    </w:p>
    <w:p w14:paraId="0000008D">
      <w:pPr>
        <w:keepNext w:val="0"/>
        <w:keepLines w:val="1"/>
        <w:pageBreakBefore w:val="0"/>
        <w:spacing w:after="180" w:before="0" w:line="240" w:lineRule="auto"/>
        <w:rPr/>
      </w:pPr>
      <w:r>
        <w:t>O material prova decisões e lacunas de aderência, não tração comercial. Qualquer reavaliação de tese financeira depende de KPIs definidos e registrados.</w:t>
      </w:r>
    </w:p>
    <w:p w14:paraId="0000008E">
      <w:pPr>
        <w:pStyle w:val="Heading1"/>
        <w:keepNext w:val="1"/>
        <w:pageBreakBefore w:val="0"/>
        <w:spacing w:after="200" w:before="320" w:line="240" w:lineRule="auto"/>
        <w:rPr/>
      </w:pPr>
      <w:r>
        <w:t>9. Modelo de negócio e unit economics</w:t>
      </w:r>
    </w:p>
    <w:p w14:paraId="0000008F">
      <w:pPr>
        <w:pStyle w:val="Heading2"/>
        <w:keepNext w:val="1"/>
        <w:pageBreakBefore w:val="0"/>
        <w:spacing w:after="80" w:before="140" w:line="240" w:lineRule="auto"/>
        <w:rPr/>
      </w:pPr>
      <w:r>
        <w:t>Receita e precificação</w:t>
      </w:r>
    </w:p>
    <w:p w14:paraId="00000090">
      <w:pPr>
        <w:keepNext w:val="0"/>
        <w:keepLines w:val="1"/>
        <w:pageBreakBefore w:val="0"/>
        <w:spacing w:after="180" w:before="0" w:line="240" w:lineRule="auto"/>
        <w:rPr/>
      </w:pPr>
      <w:r>
        <w:t>O lançamento aprovado combina plano Free com plano pago mensal de R$ 49,90. A regra limita o escopo comercial inicial e define downgrade para Free; reconhecimento de receita, taxas, churn e preço efetivo não foram fornecidos.</w:t>
      </w:r>
    </w:p>
    <w:p w14:paraId="00000091">
      <w:pPr>
        <w:pStyle w:val="Heading2"/>
        <w:keepNext w:val="1"/>
        <w:pageBreakBefore w:val="0"/>
        <w:spacing w:after="80" w:before="140" w:line="240" w:lineRule="auto"/>
        <w:rPr/>
      </w:pPr>
      <w:r>
        <w:t>Economia unitária</w:t>
      </w:r>
    </w:p>
    <w:p w14:paraId="00000092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CAC, margem, LTV, payback, cohort ou definição de unidade econômica verificável.</w:t>
      </w:r>
    </w:p>
    <w:p w14:paraId="00000093">
      <w:pPr>
        <w:pStyle w:val="Heading2"/>
        <w:keepNext w:val="1"/>
        <w:pageBreakBefore w:val="0"/>
        <w:spacing w:after="80" w:before="140" w:line="240" w:lineRule="auto"/>
        <w:rPr/>
      </w:pPr>
      <w:r>
        <w:t>Retenção e durabilidade</w:t>
      </w:r>
    </w:p>
    <w:p w14:paraId="00000094">
      <w:pPr>
        <w:keepNext w:val="0"/>
        <w:keepLines w:val="1"/>
        <w:pageBreakBefore w:val="0"/>
        <w:spacing w:after="180" w:before="0" w:line="240" w:lineRule="auto"/>
        <w:rPr/>
      </w:pPr>
      <w:r>
        <w:t>Não fornecido. As decisões definem lifecycle de assinatura e recovery, mas não medem retenção comercial.</w:t>
      </w:r>
    </w:p>
    <w:p w14:paraId="00000095">
      <w:pPr>
        <w:pStyle w:val="Heading2"/>
        <w:keepNext w:val="1"/>
        <w:pageBreakBefore w:val="0"/>
        <w:spacing w:after="80" w:before="140" w:line="240" w:lineRule="auto"/>
        <w:rPr/>
      </w:pPr>
      <w:r>
        <w:t>Premissas de escala</w:t>
      </w:r>
    </w:p>
    <w:p w14:paraId="00000096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projeção de escala, contratação, capacidade ou economia madura. O principal limite técnico conhecido é o atendimento aos gates de segurança, confiabilidade e providers.</w:t>
      </w:r>
    </w:p>
    <w:p w14:paraId="00000097">
      <w:pPr>
        <w:pStyle w:val="Heading1"/>
        <w:keepNext w:val="1"/>
        <w:pageBreakBefore w:val="1"/>
        <w:spacing w:after="200" w:before="320" w:line="240" w:lineRule="auto"/>
        <w:rPr/>
      </w:pPr>
      <w:r>
        <w:t>10. Financeiro histórico e projeções</w:t>
      </w:r>
    </w:p>
    <w:p w14:paraId="00000098">
      <w:pPr>
        <w:keepNext w:val="0"/>
        <w:pageBreakBefore w:val="0"/>
        <w:pBdr>
          <w:left w:color="111111" w:space="5" w:sz="16" w:val="single"/>
        </w:pBdr>
        <w:shd w:fill="f7f7f7" w:val="clear"/>
        <w:spacing w:after="180" w:before="60" w:line="240" w:lineRule="auto"/>
        <w:ind w:left="140" w:right="140" w:firstLine="0"/>
        <w:rPr/>
      </w:pPr>
      <w:r>
        <w:t>Resumo: não há modelo financeiro vinculado. Esta seção não apresenta períodos A/E nem cálculos estimados.</w:t>
      </w:r>
    </w:p>
    <w:p w14:paraId="00000099">
      <w:pPr>
        <w:pStyle w:val="Heading2"/>
        <w:keepNext w:val="1"/>
        <w:pageBreakBefore w:val="0"/>
        <w:spacing w:after="80" w:before="140" w:line="240" w:lineRule="auto"/>
        <w:rPr/>
      </w:pPr>
      <w:r>
        <w:t>Desempenho histórico</w:t>
      </w:r>
    </w:p>
    <w:p w14:paraId="0000009A">
      <w:pPr>
        <w:keepNext w:val="0"/>
        <w:keepLines w:val="1"/>
        <w:pageBreakBefore w:val="0"/>
        <w:spacing w:after="180" w:before="0" w:line="240" w:lineRule="auto"/>
        <w:rPr/>
      </w:pPr>
      <w:r>
        <w:t>Não fornecido. Receita, margem, lucro e caixa históricos não constam das fontes analisadas.</w:t>
      </w:r>
    </w:p>
    <w:p w14:paraId="0000009B">
      <w:pPr>
        <w:keepNext w:val="1"/>
        <w:pageBreakBefore w:val="0"/>
        <w:spacing w:after="60" w:before="60" w:line="240" w:lineRule="auto"/>
        <w:jc w:val="center"/>
        <w:rPr/>
      </w:pPr>
      <w:r>
        <w:rPr/>
        <w:drawing/>
      </w:r>
      <w:r>
        <w:rPr>
          <w:rtl w:val="0"/>
        </w:rPr>
      </w:r>
    </w:p>
    <w:p w14:paraId="0000009C">
      <w:pPr>
        <w:keepNext w:val="0"/>
        <w:pageBreakBefore w:val="0"/>
        <w:spacing w:after="180" w:before="0" w:line="240" w:lineRule="auto"/>
        <w:jc w:val="left"/>
        <w:rPr/>
      </w:pPr>
      <w:r>
        <w:t>Figura 5 não incluída: não há demonstrações históricas ou forecast verificáveis.</w:t>
      </w:r>
    </w:p>
    <w:p w14:paraId="0000009D">
      <w:pPr>
        <w:pStyle w:val="Heading2"/>
        <w:keepNext w:val="1"/>
        <w:pageBreakBefore w:val="0"/>
        <w:spacing w:after="80" w:before="140" w:line="240" w:lineRule="auto"/>
        <w:rPr/>
      </w:pPr>
      <w:r>
        <w:t>Previsão e vetores</w:t>
      </w:r>
    </w:p>
    <w:p w14:paraId="0000009E">
      <w:pPr>
        <w:keepNext w:val="0"/>
        <w:keepLines w:val="1"/>
        <w:pageBreakBefore w:val="0"/>
        <w:spacing w:after="180" w:before="0" w:line="240" w:lineRule="auto"/>
        <w:rPr/>
      </w:pPr>
      <w:r>
        <w:t>Não fornecido. Não há previsão financeira, drivers quantificados ou horizonte temporal aprovado.</w:t>
      </w:r>
    </w:p>
    <w:p w14:paraId="0000009F">
      <w:pPr>
        <w:pStyle w:val="Heading2"/>
        <w:keepNext w:val="1"/>
        <w:pageBreakBefore w:val="0"/>
        <w:spacing w:after="80" w:before="140" w:line="240" w:lineRule="auto"/>
        <w:rPr/>
      </w:pPr>
      <w:r>
        <w:t>Liquidez e necessidade de capital</w:t>
      </w:r>
    </w:p>
    <w:p w14:paraId="000000A0">
      <w:pPr>
        <w:keepNext w:val="0"/>
        <w:keepLines w:val="1"/>
        <w:pageBreakBefore w:val="0"/>
        <w:spacing w:after="180" w:before="0" w:line="240" w:lineRule="auto"/>
        <w:rPr/>
      </w:pPr>
      <w:r>
        <w:t>Não fornecido. Caixa, dívida, obrigações, runway e necessidade de financiamento não foram apresentados.</w:t>
      </w:r>
    </w:p>
    <w:p w14:paraId="000000A1">
      <w:pPr>
        <w:pStyle w:val="Heading2"/>
        <w:keepNext w:val="1"/>
        <w:pageBreakBefore w:val="0"/>
        <w:spacing w:after="80" w:before="140" w:line="240" w:lineRule="auto"/>
        <w:rPr/>
      </w:pPr>
      <w:r>
        <w:t>Conciliação com modelo</w:t>
      </w:r>
    </w:p>
    <w:p w14:paraId="000000A2">
      <w:pPr>
        <w:keepNext w:val="0"/>
        <w:keepLines w:val="1"/>
        <w:pageBreakBefore w:val="0"/>
        <w:spacing w:after="180" w:before="0" w:line="240" w:lineRule="auto"/>
        <w:rPr/>
      </w:pPr>
      <w:r>
        <w:t>Não há modelo financeiro externo, proprietário, versão, moeda ou escala fornecidos para conciliação.</w:t>
      </w:r>
    </w:p>
    <w:p w14:paraId="000000A3">
      <w:pPr>
        <w:pStyle w:val="Heading1"/>
        <w:keepNext w:val="1"/>
        <w:pageBreakBefore w:val="1"/>
        <w:spacing w:after="200" w:before="320" w:line="240" w:lineRule="auto"/>
        <w:rPr/>
      </w:pPr>
      <w:r>
        <w:t>11. Valuation e cenários de retorno</w:t>
      </w:r>
    </w:p>
    <w:p w14:paraId="000000A4">
      <w:pPr>
        <w:keepNext w:val="0"/>
        <w:pageBreakBefore w:val="0"/>
        <w:pBdr>
          <w:left w:color="111111" w:space="5" w:sz="16" w:val="single"/>
        </w:pBdr>
        <w:shd w:fill="f7f7f7" w:val="clear"/>
        <w:spacing w:after="180" w:before="60" w:line="240" w:lineRule="auto"/>
        <w:ind w:left="140" w:right="140" w:firstLine="0"/>
        <w:rPr/>
      </w:pPr>
      <w:r>
        <w:t>Papel da decisão: este memorando não avalia valuation nem retorno. Ele avalia se a evidência disponível suporta liberar o produto ao público; a resposta é não, até os gates aprovados serem comprovados.</w:t>
      </w:r>
    </w:p>
    <w:p w14:paraId="000000A5">
      <w:pPr>
        <w:pStyle w:val="Heading2"/>
        <w:keepNext w:val="1"/>
        <w:pageBreakBefore w:val="0"/>
        <w:spacing w:after="80" w:before="140" w:line="240" w:lineRule="auto"/>
        <w:rPr/>
      </w:pPr>
      <w:r>
        <w:t>Referência do modelo e definição de retorno</w:t>
      </w:r>
    </w:p>
    <w:p w14:paraId="000000A6">
      <w:pPr>
        <w:keepNext w:val="0"/>
        <w:keepLines w:val="1"/>
        <w:pageBreakBefore w:val="0"/>
        <w:spacing w:after="180" w:before="0" w:line="240" w:lineRule="auto"/>
        <w:rPr/>
      </w:pPr>
      <w:r>
        <w:t>Não aplicável. Não há modelo, definição de retorno, horizonte ou base tributária fornecidos.</w:t>
      </w:r>
    </w:p>
    <w:p w14:paraId="000000A7">
      <w:pPr>
        <w:pStyle w:val="Heading2"/>
        <w:keepNext w:val="1"/>
        <w:pageBreakBefore w:val="0"/>
        <w:spacing w:after="80" w:before="140" w:line="240" w:lineRule="auto"/>
        <w:rPr/>
      </w:pPr>
      <w:r>
        <w:t>Premissas de valuation e retorno</w:t>
      </w:r>
    </w:p>
    <w:p w14:paraId="000000A8">
      <w:pPr>
        <w:keepNext w:val="0"/>
        <w:keepLines w:val="1"/>
        <w:pageBreakBefore w:val="0"/>
        <w:spacing w:after="180" w:before="0" w:line="240" w:lineRule="auto"/>
        <w:rPr/>
      </w:pPr>
      <w:r>
        <w:t>Não aplicável. Não há preço de entrada, valuation, premissas operacionais ou terminal verificáveis.</w:t>
      </w:r>
    </w:p>
    <w:p w14:paraId="000000A9">
      <w:pPr>
        <w:pStyle w:val="Heading2"/>
        <w:keepNext w:val="1"/>
        <w:pageBreakBefore w:val="0"/>
        <w:spacing w:after="80" w:before="140" w:line="240" w:lineRule="auto"/>
        <w:rPr/>
      </w:pPr>
      <w:r>
        <w:t>Cenário de baixa</w:t>
      </w:r>
    </w:p>
    <w:p w14:paraId="000000AA">
      <w:pPr>
        <w:keepNext w:val="0"/>
        <w:keepLines w:val="1"/>
        <w:pageBreakBefore w:val="0"/>
        <w:spacing w:after="180" w:before="0" w:line="240" w:lineRule="auto"/>
        <w:rPr/>
      </w:pPr>
      <w:r>
        <w:t>Não aplicável. Não há capital incluído, projeção de resultado, MOIC ou IRR fornecidos.</w:t>
      </w:r>
    </w:p>
    <w:p w14:paraId="000000AB">
      <w:pPr>
        <w:pStyle w:val="Heading2"/>
        <w:keepNext w:val="1"/>
        <w:pageBreakBefore w:val="0"/>
        <w:spacing w:after="80" w:before="140" w:line="240" w:lineRule="auto"/>
        <w:rPr/>
      </w:pPr>
      <w:r>
        <w:t>Cenário-base</w:t>
      </w:r>
    </w:p>
    <w:p w14:paraId="000000AC">
      <w:pPr>
        <w:keepNext w:val="0"/>
        <w:keepLines w:val="1"/>
        <w:pageBreakBefore w:val="0"/>
        <w:spacing w:after="180" w:before="0" w:line="240" w:lineRule="auto"/>
        <w:rPr/>
      </w:pPr>
      <w:r>
        <w:t>Não aplicável. Não há capital incluído, projeção de resultado, MOIC ou IRR fornecidos.</w:t>
      </w:r>
    </w:p>
    <w:p w14:paraId="000000AD">
      <w:pPr>
        <w:pStyle w:val="Heading2"/>
        <w:keepNext w:val="1"/>
        <w:pageBreakBefore w:val="0"/>
        <w:spacing w:after="80" w:before="140" w:line="240" w:lineRule="auto"/>
        <w:rPr/>
      </w:pPr>
      <w:r>
        <w:t>Cenário de alta</w:t>
      </w:r>
    </w:p>
    <w:p w14:paraId="000000AE">
      <w:pPr>
        <w:keepNext w:val="0"/>
        <w:keepLines w:val="1"/>
        <w:pageBreakBefore w:val="0"/>
        <w:spacing w:after="180" w:before="0" w:line="240" w:lineRule="auto"/>
        <w:rPr/>
      </w:pPr>
      <w:r>
        <w:t>Não aplicável. Não há capital incluído, projeção de resultado, MOIC ou IRR fornecidos.</w:t>
      </w:r>
    </w:p>
    <w:p w14:paraId="000000AF">
      <w:pPr>
        <w:keepNext w:val="0"/>
        <w:pageBreakBefore w:val="0"/>
        <w:pBdr>
          <w:left w:color="111111" w:space="5" w:sz="16" w:val="single"/>
        </w:pBdr>
        <w:shd w:fill="f7f7f7" w:val="clear"/>
        <w:spacing w:after="180" w:before="60" w:line="240" w:lineRule="auto"/>
        <w:ind w:left="140" w:right="140" w:firstLine="0"/>
        <w:rPr/>
      </w:pPr>
      <w:r>
        <w:t>Reconciliação requerida: não aplicável. Não foram informados componentes de capital nem cenários financeiros.</w:t>
      </w:r>
    </w:p>
    <w:p w14:paraId="000000B0">
      <w:pPr>
        <w:pStyle w:val="Heading2"/>
        <w:keepNext w:val="1"/>
        <w:pageBreakBefore w:val="0"/>
        <w:spacing w:after="80" w:before="140" w:line="240" w:lineRule="auto"/>
        <w:rPr/>
      </w:pPr>
      <w:r>
        <w:t>Sensibilidade 3 x 3</w:t>
      </w:r>
    </w:p>
    <w:p w14:paraId="000000B1">
      <w:pPr>
        <w:keepNext w:val="0"/>
        <w:pageBreakBefore w:val="0"/>
        <w:spacing w:after="160" w:before="60" w:line="240" w:lineRule="auto"/>
        <w:rPr/>
      </w:pPr>
      <w:r>
        <w:t>Métrica de retorno: não aplicável. Variáveis de operação e saída não foram fornecidas.</w:t>
      </w:r>
    </w:p>
    <w:tbl>
      <w:tblPr>
        <w:tblStyle w:val="Table4"/>
        <w:tblW w:w="9345.0" w:type="dxa"/>
        <w:jc w:val="left"/>
        <w:tblLayout w:type="fixed"/>
        <w:tblLook w:val="0400"/>
      </w:tblPr>
      <w:tblGrid>
        <w:gridCol w:w="2350"/>
        <w:gridCol w:w="2330"/>
        <w:gridCol w:w="2330"/>
        <w:gridCol w:w="2335"/>
        <w:tblGridChange w:id="0">
          <w:tblGrid>
            <w:gridCol w:w="2350"/>
            <w:gridCol w:w="2330"/>
            <w:gridCol w:w="2330"/>
            <w:gridCol w:w="233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/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Baixa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Base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Baixa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Base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Alta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N/A</w:t>
            </w:r>
          </w:p>
        </w:tc>
      </w:tr>
    </w:tbl>
    <w:p w14:paraId="000000C2">
      <w:pPr>
        <w:keepNext w:val="0"/>
        <w:pageBreakBefore w:val="0"/>
        <w:spacing w:after="20" w:before="0" w:line="240" w:lineRule="auto"/>
        <w:rPr/>
      </w:pPr>
      <w:r>
        <w:rPr>
          <w:rtl w:val="0"/>
        </w:rPr>
      </w:r>
    </w:p>
    <w:p w14:paraId="000000C3">
      <w:pPr>
        <w:keepNext w:val="0"/>
        <w:keepLines w:val="1"/>
        <w:pageBreakBefore w:val="0"/>
        <w:spacing w:after="160" w:before="40" w:line="240" w:lineRule="auto"/>
        <w:rPr/>
      </w:pPr>
      <w:r>
        <w:t>Conclusão: não há sensibilidade financeira possível sem modelo e premissas verificáveis.</w:t>
      </w:r>
    </w:p>
    <w:p w14:paraId="000000C4">
      <w:pPr>
        <w:pStyle w:val="Heading1"/>
        <w:keepNext w:val="1"/>
        <w:pageBreakBefore w:val="1"/>
        <w:spacing w:after="200" w:before="320" w:line="240" w:lineRule="auto"/>
        <w:rPr/>
      </w:pPr>
      <w:r>
        <w:t>12. Termos da decisão</w:t>
      </w:r>
    </w:p>
    <w:p w14:paraId="000000C5">
      <w:pPr>
        <w:pStyle w:val="Heading2"/>
        <w:keepNext w:val="1"/>
        <w:pageBreakBefore w:val="0"/>
        <w:spacing w:after="80" w:before="140" w:line="240" w:lineRule="auto"/>
        <w:rPr/>
      </w:pPr>
      <w:r>
        <w:t>Estrutura e efeito econômico</w:t>
      </w:r>
    </w:p>
    <w:p w14:paraId="000000C6">
      <w:pPr>
        <w:keepNext w:val="0"/>
        <w:keepLines w:val="1"/>
        <w:pageBreakBefore w:val="0"/>
        <w:spacing w:after="180" w:before="0" w:line="240" w:lineRule="auto"/>
        <w:rPr/>
      </w:pPr>
      <w:r>
        <w:t>Não há security, aporte, preço de entrada, participação, prioridade econômica ou uso de recursos propostos. A decisão solicitada é processual: autorizar execução faseada sem liberar lançamento público.</w:t>
      </w:r>
    </w:p>
    <w:p w14:paraId="000000C7">
      <w:pPr>
        <w:pStyle w:val="Heading2"/>
        <w:keepNext w:val="1"/>
        <w:pageBreakBefore w:val="0"/>
        <w:spacing w:after="80" w:before="140" w:line="240" w:lineRule="auto"/>
        <w:rPr/>
      </w:pPr>
      <w:r>
        <w:t>Governança e proteções</w:t>
      </w:r>
    </w:p>
    <w:p w14:paraId="000000C8">
      <w:pPr>
        <w:keepNext w:val="0"/>
        <w:keepLines w:val="1"/>
        <w:pageBreakBefore w:val="0"/>
        <w:spacing w:after="180" w:before="0" w:line="240" w:lineRule="auto"/>
        <w:rPr/>
      </w:pPr>
      <w:r>
        <w:t>Proteções propostas: gates explícitos, evidência promovida antes de release, segregação de privilégios, auditoria de mutações e PII, e aprovação de platform owner para replay capaz de afetar billing ou entitlement.</w:t>
      </w:r>
    </w:p>
    <w:p w14:paraId="000000C9">
      <w:pPr>
        <w:pStyle w:val="Heading2"/>
        <w:keepNext w:val="1"/>
        <w:pageBreakBefore w:val="0"/>
        <w:spacing w:after="80" w:before="140" w:line="240" w:lineRule="auto"/>
        <w:rPr/>
      </w:pPr>
      <w:r>
        <w:t>Condições e marcos</w:t>
      </w:r>
    </w:p>
    <w:p w14:paraId="000000CA">
      <w:pPr>
        <w:keepNext w:val="0"/>
        <w:keepLines w:val="1"/>
        <w:pageBreakBefore w:val="0"/>
        <w:spacing w:after="180" w:before="0" w:line="240" w:lineRule="auto"/>
        <w:rPr/>
      </w:pPr>
      <w:r>
        <w:t>Condições antes de release: concluir os PRs dependentes do plano, comprovar gates de providers e ambiente, aprovar retenção jurídico/contábil, nomear responsáveis de privacidade/incidentes e exercitar o runbook. Prazo: antes de qualquer release público; data não fornecida.</w:t>
      </w:r>
    </w:p>
    <w:p w14:paraId="000000CB">
      <w:pPr>
        <w:pStyle w:val="Heading2"/>
        <w:keepNext w:val="1"/>
        <w:pageBreakBefore w:val="0"/>
        <w:spacing w:after="80" w:before="140" w:line="240" w:lineRule="auto"/>
        <w:rPr/>
      </w:pPr>
      <w:r>
        <w:t>Avaliação dos termos</w:t>
      </w:r>
    </w:p>
    <w:p w14:paraId="000000CC">
      <w:pPr>
        <w:keepNext w:val="0"/>
        <w:keepLines w:val="1"/>
        <w:pageBreakBefore w:val="0"/>
        <w:spacing w:after="180" w:before="0" w:line="240" w:lineRule="auto"/>
        <w:rPr/>
      </w:pPr>
      <w:r>
        <w:t>Os termos são adequados apenas para uma autorização controlada de implementação. Eles não sustentam aprovação de lançamento público ou de investimento financeiro sem evidências adicionais.</w:t>
      </w:r>
    </w:p>
    <w:p w14:paraId="000000CD">
      <w:pPr>
        <w:pStyle w:val="Heading2"/>
        <w:keepNext w:val="1"/>
        <w:pageBreakBefore w:val="0"/>
        <w:spacing w:after="80" w:before="140" w:line="240" w:lineRule="auto"/>
        <w:rPr/>
      </w:pPr>
      <w:r>
        <w:t>Capital faseado</w:t>
      </w:r>
    </w:p>
    <w:tbl>
      <w:tblPr>
        <w:tblStyle w:val="Table5"/>
        <w:tblW w:w="9345.0" w:type="dxa"/>
        <w:jc w:val="left"/>
        <w:tblLayout w:type="fixed"/>
        <w:tblLook w:val="0400"/>
      </w:tblPr>
      <w:tblGrid>
        <w:gridCol w:w="2100"/>
        <w:gridCol w:w="1100"/>
        <w:gridCol w:w="2450"/>
        <w:gridCol w:w="1600"/>
        <w:gridCol w:w="2095"/>
        <w:tblGridChange w:id="0">
          <w:tblGrid>
            <w:gridCol w:w="2100"/>
            <w:gridCol w:w="1100"/>
            <w:gridCol w:w="2450"/>
            <w:gridCol w:w="1600"/>
            <w:gridCol w:w="2095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Etapa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Montante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Status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Momento / gatilho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20.0" w:type="dxa"/>
              <w:bottom w:w="120.0" w:type="dxa"/>
            </w:tcMar>
            <w:vAlign w:val="center"/>
          </w:tcPr>
          <w:p>
            <w:r>
              <w:t>Condições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Compromisso atual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Autorização solicitada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Execução controlada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Antes do release público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PRs e gates concluídos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Capital futuro condicional - etapa 1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autorizado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7f7f7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Capital futuro condicional - etapa 2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autorizado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ffffff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Exposição potencial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Não informado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Sem autorização financeira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  <w:tc>
          <w:tcPr>
            <w:tcBorders>
              <w:top w:color="e6e6e6" w:space="0" w:sz="4" w:val="single"/>
              <w:bottom w:color="e6e6e6" w:space="0" w:sz="4" w:val="single"/>
            </w:tcBorders>
            <w:shd w:fill="111111" w:val="clear"/>
            <w:tcMar>
              <w:top w:w="100.0" w:type="dxa"/>
              <w:bottom w:w="100.0" w:type="dxa"/>
            </w:tcMar>
            <w:vAlign w:val="center"/>
          </w:tcPr>
          <w:p>
            <w:r>
              <w:t>Não aplicável</w:t>
            </w:r>
          </w:p>
        </w:tc>
      </w:tr>
    </w:tbl>
    <w:p w14:paraId="000000EC">
      <w:pPr>
        <w:keepNext w:val="0"/>
        <w:pageBreakBefore w:val="0"/>
        <w:spacing w:after="20" w:before="0" w:line="240" w:lineRule="auto"/>
        <w:rPr/>
      </w:pPr>
      <w:r>
        <w:rPr>
          <w:rtl w:val="0"/>
        </w:rPr>
      </w:r>
    </w:p>
    <w:p w14:paraId="000000ED">
      <w:pPr>
        <w:pStyle w:val="Heading1"/>
        <w:keepNext w:val="1"/>
        <w:pageBreakBefore w:val="1"/>
        <w:spacing w:after="200" w:before="320" w:line="240" w:lineRule="auto"/>
        <w:rPr/>
      </w:pPr>
      <w:r>
        <w:t>13. Riscos, diligências e condições necessárias</w:t>
      </w:r>
    </w:p>
    <w:p w14:paraId="000000EE">
      <w:pPr>
        <w:pStyle w:val="Heading2"/>
        <w:keepNext w:val="1"/>
        <w:pageBreakBefore w:val="0"/>
        <w:spacing w:after="80" w:before="140" w:line="240" w:lineRule="auto"/>
        <w:rPr/>
      </w:pPr>
      <w:r>
        <w:t>Risco 1: aderência técnica incompleta</w:t>
      </w:r>
    </w:p>
    <w:p w14:paraId="000000EF">
      <w:pPr>
        <w:keepNext w:val="0"/>
        <w:keepLines w:val="1"/>
        <w:pageBreakBefore w:val="0"/>
        <w:spacing w:after="180" w:before="0" w:line="240" w:lineRule="auto"/>
        <w:rPr/>
      </w:pPr>
      <w:r>
        <w:t>A matriz de aderência classifica tenancy, billing/entitlements, estoque, vendas e privacidade como parciais ou contraditórios. Isso pode causar acesso indevido, comportamento financeiro incorreto ou inconsistência operacional. Mitigação: executar PRs na ordem definida, com banco, servidor, UI, auditoria e testes. Status: bloqueador de release. Responsável e data: não fornecidos.</w:t>
      </w:r>
    </w:p>
    <w:p w14:paraId="000000F0">
      <w:pPr>
        <w:pStyle w:val="Heading2"/>
        <w:keepNext w:val="1"/>
        <w:pageBreakBefore w:val="0"/>
        <w:spacing w:after="80" w:before="140" w:line="240" w:lineRule="auto"/>
        <w:rPr/>
      </w:pPr>
      <w:r>
        <w:t>Risco 2: billing e integrações ainda não homologados</w:t>
      </w:r>
    </w:p>
    <w:p w14:paraId="000000F1">
      <w:pPr>
        <w:keepNext w:val="0"/>
        <w:keepLines w:val="1"/>
        <w:pageBreakBefore w:val="0"/>
        <w:spacing w:after="180" w:before="0" w:line="240" w:lineRule="auto"/>
        <w:rPr/>
      </w:pPr>
      <w:r>
        <w:t>Asaas para cartão recorrente e Woovi para PIX Automático são decisões aprovadas, mas sandbox, contrato, elegibilidade, webhooks, assinatura, idempotência e reconciliação devem ser homologados. Mitigação: adaptadores internos separados, captura durável e prova dos fluxos antes da exposição pública. Status: bloqueador de release. Responsável e data: não fornecidos.</w:t>
      </w:r>
    </w:p>
    <w:p w14:paraId="000000F2">
      <w:pPr>
        <w:pStyle w:val="Heading2"/>
        <w:keepNext w:val="1"/>
        <w:pageBreakBefore w:val="0"/>
        <w:spacing w:after="80" w:before="140" w:line="240" w:lineRule="auto"/>
        <w:rPr/>
      </w:pPr>
      <w:r>
        <w:t>Risco 3: gates legais, privacidade e operação</w:t>
      </w:r>
    </w:p>
    <w:p w14:paraId="000000F3">
      <w:pPr>
        <w:keepNext w:val="0"/>
        <w:keepLines w:val="1"/>
        <w:pageBreakBefore w:val="0"/>
        <w:spacing w:after="180" w:before="0" w:line="240" w:lineRule="auto"/>
        <w:rPr/>
      </w:pPr>
      <w:r>
        <w:t>A plataforma ainda depende de tabela de retenção validada, mapa de tratamento, responsáveis de privacidade/incidentes, runbook exercitado e provas promovidas de RLS, backup/restore, jobs, e-mail, R2/CORS/lifecycle e OAuth. Mitigação: checklist evidenciável e bloqueio de release até conclusão. Status: bloqueador de release. Responsável e data: não fornecidos.</w:t>
      </w:r>
    </w:p>
    <w:p w14:paraId="000000F4">
      <w:pPr>
        <w:pStyle w:val="Heading2"/>
        <w:keepNext w:val="1"/>
        <w:pageBreakBefore w:val="0"/>
        <w:spacing w:after="80" w:before="140" w:line="240" w:lineRule="auto"/>
        <w:rPr/>
      </w:pPr>
      <w:r>
        <w:t>Bloqueadores e condições para aprovação</w:t>
      </w:r>
    </w:p>
    <w:p w14:paraId="000000F5">
      <w:pPr>
        <w:keepNext w:val="0"/>
        <w:keepLines w:val="1"/>
        <w:pageBreakBefore w:val="0"/>
        <w:spacing w:after="180" w:before="0" w:line="240" w:lineRule="auto"/>
        <w:rPr/>
      </w:pPr>
      <w:r>
        <w:t>Não autorizar lançamento público até: (1) implementação e testes dos PRs 1 a 8 aplicáveis; (2) provas promovidas de RLS, backup/restore, jobs/dead-letter, e-mail, R2/CORS/lifecycle e OAuth; (3) homologação dos providers de billing; (4) tabela de retenção e mapa de tratamento validados; (5) Privacy Lead e Incident Commander, com suplentes e runbook exercitado. Nenhum bloqueador foi dispensado neste memorando.</w:t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tabs>
        <w:tab w:val="right" w:leader="none" w:pos="9214"/>
      </w:tabs>
      <w:rPr>
        <w:color w:val="999999"/>
        <w:sz w:val="18"/>
        <w:szCs w:val="18"/>
      </w:rPr>
    </w:pPr>
    <w:r>
      <w:t>Confidencial - Uso interno · Polaris / Hub Imports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jc w:val="right"/>
      <w:rPr>
        <w:color w:val="999999"/>
        <w:sz w:val="24"/>
        <w:szCs w:val="24"/>
      </w:rPr>
    </w:pPr>
    <w:r>
      <w:t>Memorando para Comitê de Investimento  ·  Julho de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Memorando para Comitê de Investimento — Polaris / Hub Imports</dc:title>
  <cp:lastModifiedBy>python-docx</cp:lastModifiedBy>
  <cp:revision>1</cp:revision>
  <dcterms:modified xsi:type="dcterms:W3CDTF">2026-07-14T00:00:00Z</dcterms:modified>
  <dc:subject>Decisão de prontidão para lançamento público</dc:subject>
  <dc:creator>Produto e Engenharia</dc:creator>
  <dc:description>Gerado a partir do template Investment Committee Memo e das fontes internas verificadas em 2026-07-14.</dc:description>
</cp:coreProperties>
</file>