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1"/>
        <w:ind w:left="1750" w:right="0" w:firstLine="0"/>
        <w:jc w:val="left"/>
        <w:rPr>
          <w:b/>
          <w:sz w:val="32"/>
        </w:rPr>
      </w:pPr>
      <w:r>
        <w:rPr>
          <w:b/>
          <w:sz w:val="32"/>
        </w:rPr>
        <w:t>Predicting the Improvement of NBA players</w:t>
      </w:r>
    </w:p>
    <w:p>
      <w:pPr>
        <w:pStyle w:val="BodyText"/>
        <w:spacing w:before="7"/>
        <w:rPr>
          <w:b/>
          <w:sz w:val="43"/>
        </w:rPr>
      </w:pPr>
    </w:p>
    <w:p>
      <w:pPr>
        <w:spacing w:line="566" w:lineRule="auto" w:before="1"/>
        <w:ind w:left="3654" w:right="3712" w:hanging="1"/>
        <w:jc w:val="center"/>
        <w:rPr>
          <w:sz w:val="32"/>
        </w:rPr>
      </w:pPr>
      <w:r>
        <w:rPr>
          <w:sz w:val="32"/>
        </w:rPr>
        <w:t>Zhenfeng Liu October 18, 2018</w:t>
      </w:r>
    </w:p>
    <w:p>
      <w:pPr>
        <w:pStyle w:val="Heading1"/>
        <w:numPr>
          <w:ilvl w:val="0"/>
          <w:numId w:val="1"/>
        </w:numPr>
        <w:tabs>
          <w:tab w:pos="380" w:val="left" w:leader="none"/>
        </w:tabs>
        <w:spacing w:line="240" w:lineRule="auto" w:before="10" w:after="0"/>
        <w:ind w:left="379" w:right="0" w:hanging="279"/>
        <w:jc w:val="left"/>
      </w:pPr>
      <w:r>
        <w:rPr/>
        <w:t>Introduction</w:t>
      </w:r>
    </w:p>
    <w:p>
      <w:pPr>
        <w:pStyle w:val="BodyText"/>
        <w:spacing w:before="2"/>
        <w:rPr>
          <w:b/>
          <w:sz w:val="39"/>
        </w:rPr>
      </w:pPr>
    </w:p>
    <w:p>
      <w:pPr>
        <w:pStyle w:val="Heading2"/>
        <w:numPr>
          <w:ilvl w:val="1"/>
          <w:numId w:val="1"/>
        </w:numPr>
        <w:tabs>
          <w:tab w:pos="460" w:val="left" w:leader="none"/>
        </w:tabs>
        <w:spacing w:line="240" w:lineRule="auto" w:before="0" w:after="0"/>
        <w:ind w:left="460" w:right="0" w:hanging="360"/>
        <w:jc w:val="left"/>
      </w:pPr>
      <w:r>
        <w:rPr/>
        <w:t>Background</w:t>
      </w:r>
    </w:p>
    <w:p>
      <w:pPr>
        <w:pStyle w:val="BodyText"/>
        <w:spacing w:line="288" w:lineRule="auto" w:before="54"/>
        <w:ind w:left="100" w:right="138"/>
        <w:jc w:val="both"/>
      </w:pPr>
      <w:r>
        <w:rPr/>
        <w:t>National Basketball Association (NBA) is the best basketball league in the world with millions of fans worldwide. How players on a team perform is the most important factor that determines which team wins the championship. Players’ pay are largely based on their past performances. However, player performance change from season to season. Each year there are a number of players who improve dramatically over last year. Those players bring a lot of value, both competitively and economically, to the teams they belong to. Their importance is widely recognized by the NBA in that the player who improved the most over last season is awarded Most Improved Player (MIP) Award. Therefore, it is advantageous for teams to accurately predict whether and how much a player will improve in the next season. For example, this information can be used to target players to acquire in trades or signings.</w:t>
      </w:r>
    </w:p>
    <w:p>
      <w:pPr>
        <w:pStyle w:val="BodyText"/>
        <w:spacing w:before="8"/>
        <w:rPr>
          <w:sz w:val="27"/>
        </w:rPr>
      </w:pPr>
    </w:p>
    <w:p>
      <w:pPr>
        <w:pStyle w:val="Heading2"/>
        <w:numPr>
          <w:ilvl w:val="1"/>
          <w:numId w:val="1"/>
        </w:numPr>
        <w:tabs>
          <w:tab w:pos="460" w:val="left" w:leader="none"/>
        </w:tabs>
        <w:spacing w:line="240" w:lineRule="auto" w:before="0" w:after="0"/>
        <w:ind w:left="460" w:right="0" w:hanging="360"/>
        <w:jc w:val="left"/>
      </w:pPr>
      <w:r>
        <w:rPr/>
        <w:t>Problem</w:t>
      </w:r>
    </w:p>
    <w:p>
      <w:pPr>
        <w:pStyle w:val="BodyText"/>
        <w:spacing w:line="288" w:lineRule="auto" w:before="54"/>
        <w:ind w:left="100" w:right="141"/>
        <w:jc w:val="both"/>
      </w:pPr>
      <w:r>
        <w:rPr/>
        <w:t>Data that might contribute to determining player improvement might include his performance last season, his age, his draft status, his position, and metrics that describe what kind of player he is. This project aims to predict whether and how much a player will improve the next season based on these data.</w:t>
      </w:r>
    </w:p>
    <w:p>
      <w:pPr>
        <w:pStyle w:val="BodyText"/>
        <w:spacing w:before="3"/>
        <w:rPr>
          <w:sz w:val="28"/>
        </w:rPr>
      </w:pPr>
    </w:p>
    <w:p>
      <w:pPr>
        <w:pStyle w:val="Heading2"/>
        <w:numPr>
          <w:ilvl w:val="1"/>
          <w:numId w:val="1"/>
        </w:numPr>
        <w:tabs>
          <w:tab w:pos="460" w:val="left" w:leader="none"/>
        </w:tabs>
        <w:spacing w:line="240" w:lineRule="auto" w:before="0" w:after="0"/>
        <w:ind w:left="460" w:right="0" w:hanging="360"/>
        <w:jc w:val="left"/>
      </w:pPr>
      <w:r>
        <w:rPr/>
        <w:t>Interest</w:t>
      </w:r>
    </w:p>
    <w:p>
      <w:pPr>
        <w:pStyle w:val="BodyText"/>
        <w:spacing w:line="288" w:lineRule="auto" w:before="54"/>
        <w:ind w:left="100" w:right="142"/>
        <w:jc w:val="both"/>
      </w:pPr>
      <w:r>
        <w:rPr/>
        <w:t>Obviously, NBA teams would be very interested in accurate prediction of player improvement, for competitive advantage and business values. Others who are interested in NBA such as fans and fantasy basketball players may also be interested.</w:t>
      </w:r>
    </w:p>
    <w:p>
      <w:pPr>
        <w:pStyle w:val="BodyText"/>
        <w:spacing w:before="1"/>
        <w:rPr>
          <w:sz w:val="29"/>
        </w:rPr>
      </w:pPr>
    </w:p>
    <w:p>
      <w:pPr>
        <w:pStyle w:val="Heading1"/>
        <w:numPr>
          <w:ilvl w:val="0"/>
          <w:numId w:val="1"/>
        </w:numPr>
        <w:tabs>
          <w:tab w:pos="380" w:val="left" w:leader="none"/>
        </w:tabs>
        <w:spacing w:line="240" w:lineRule="auto" w:before="0" w:after="0"/>
        <w:ind w:left="379" w:right="0" w:hanging="279"/>
        <w:jc w:val="left"/>
      </w:pPr>
      <w:r>
        <w:rPr/>
        <w:t>Data acquisition and</w:t>
      </w:r>
      <w:r>
        <w:rPr>
          <w:spacing w:val="-4"/>
        </w:rPr>
        <w:t> </w:t>
      </w:r>
      <w:r>
        <w:rPr/>
        <w:t>cleaning</w:t>
      </w:r>
    </w:p>
    <w:p>
      <w:pPr>
        <w:pStyle w:val="BodyText"/>
        <w:spacing w:before="11"/>
        <w:rPr>
          <w:b/>
          <w:sz w:val="33"/>
        </w:rPr>
      </w:pPr>
    </w:p>
    <w:p>
      <w:pPr>
        <w:pStyle w:val="Heading2"/>
        <w:numPr>
          <w:ilvl w:val="1"/>
          <w:numId w:val="1"/>
        </w:numPr>
        <w:tabs>
          <w:tab w:pos="460" w:val="left" w:leader="none"/>
        </w:tabs>
        <w:spacing w:line="240" w:lineRule="auto" w:before="0" w:after="0"/>
        <w:ind w:left="460" w:right="0" w:hanging="360"/>
        <w:jc w:val="left"/>
      </w:pPr>
      <w:r>
        <w:rPr/>
        <w:t>Data sources</w:t>
      </w:r>
    </w:p>
    <w:p>
      <w:pPr>
        <w:pStyle w:val="BodyText"/>
        <w:spacing w:line="288" w:lineRule="auto" w:before="54"/>
        <w:ind w:left="100"/>
      </w:pPr>
      <w:r>
        <w:rPr/>
        <w:t>Most player stats, position, age, and draft position data can be found in two Kaggle datasets </w:t>
      </w:r>
      <w:hyperlink r:id="rId5">
        <w:r>
          <w:rPr>
            <w:color w:val="1154CC"/>
            <w:u w:val="single" w:color="1154CC"/>
          </w:rPr>
          <w:t>here</w:t>
        </w:r>
      </w:hyperlink>
      <w:r>
        <w:rPr>
          <w:color w:val="1154CC"/>
        </w:rPr>
        <w:t> </w:t>
      </w:r>
      <w:r>
        <w:rPr/>
        <w:t>and </w:t>
      </w:r>
      <w:hyperlink r:id="rId6">
        <w:r>
          <w:rPr>
            <w:color w:val="1154CC"/>
            <w:u w:val="single" w:color="1154CC"/>
          </w:rPr>
          <w:t>here</w:t>
        </w:r>
      </w:hyperlink>
      <w:r>
        <w:rPr/>
        <w:t>. These two datasets, however, lack data for certain years. For example, the player stats</w:t>
      </w:r>
    </w:p>
    <w:p>
      <w:pPr>
        <w:spacing w:after="0" w:line="288" w:lineRule="auto"/>
        <w:sectPr>
          <w:type w:val="continuous"/>
          <w:pgSz w:w="12240" w:h="15840"/>
          <w:pgMar w:top="1380" w:bottom="280" w:left="1340" w:right="1300"/>
        </w:sectPr>
      </w:pPr>
    </w:p>
    <w:p>
      <w:pPr>
        <w:pStyle w:val="BodyText"/>
        <w:spacing w:line="288" w:lineRule="auto" w:before="61"/>
        <w:ind w:left="100" w:right="147"/>
        <w:jc w:val="both"/>
      </w:pPr>
      <w:r>
        <w:rPr/>
        <w:t>dataset ends in 2017, and the player draft dataset starts in 1978 and ends in 2015. To complement these two datasets, I scraped </w:t>
      </w:r>
      <w:hyperlink r:id="rId7">
        <w:r>
          <w:rPr>
            <w:color w:val="1154CC"/>
            <w:u w:val="single" w:color="1154CC"/>
          </w:rPr>
          <w:t>basketball-reference.com</w:t>
        </w:r>
        <w:r>
          <w:rPr>
            <w:color w:val="1154CC"/>
          </w:rPr>
          <w:t> </w:t>
        </w:r>
      </w:hyperlink>
      <w:r>
        <w:rPr/>
        <w:t>for player season stats of 2018 and player draft positions of 1965-1977 and 2016-2017 (players drafted in 2018 has yet to play in NBA).</w:t>
      </w:r>
    </w:p>
    <w:p>
      <w:pPr>
        <w:pStyle w:val="BodyText"/>
        <w:spacing w:before="4"/>
        <w:rPr>
          <w:sz w:val="28"/>
        </w:rPr>
      </w:pPr>
    </w:p>
    <w:p>
      <w:pPr>
        <w:pStyle w:val="Heading2"/>
        <w:numPr>
          <w:ilvl w:val="1"/>
          <w:numId w:val="1"/>
        </w:numPr>
        <w:tabs>
          <w:tab w:pos="460" w:val="left" w:leader="none"/>
        </w:tabs>
        <w:spacing w:line="240" w:lineRule="auto" w:before="0" w:after="0"/>
        <w:ind w:left="460" w:right="0" w:hanging="360"/>
        <w:jc w:val="left"/>
      </w:pPr>
      <w:r>
        <w:rPr/>
        <w:t>Data cleaning</w:t>
      </w:r>
    </w:p>
    <w:p>
      <w:pPr>
        <w:pStyle w:val="BodyText"/>
        <w:spacing w:line="288" w:lineRule="auto" w:before="54"/>
        <w:ind w:left="100" w:right="141"/>
        <w:jc w:val="both"/>
      </w:pPr>
      <w:r>
        <w:rPr/>
        <w:t>Data downloaded or scraped from multiple sources were combined into one table. There were a lot of missing values from earlier seasons, because of lack of record keeping. I decided to only use data from 1980 season and after, because of later seasons have fewer missing values and basketball was a lot different in the early years from today’s game.</w:t>
      </w:r>
    </w:p>
    <w:p>
      <w:pPr>
        <w:pStyle w:val="BodyText"/>
        <w:spacing w:line="288" w:lineRule="auto"/>
        <w:ind w:left="100" w:right="141" w:firstLine="720"/>
        <w:jc w:val="both"/>
      </w:pPr>
      <w:r>
        <w:rPr/>
        <w:t>There are several problems with the datasets. First, players were identified by their names. However, there were different players with the same names, which cause their data to mix with each other’s. Though it was possible to separate some of them based on the years, teams, and positions they played, I decided that it was not worth the large effort to do so, because such players only accounted for ~1% of the data. Therefore, players with duplicate names were removed.</w:t>
      </w:r>
    </w:p>
    <w:p>
      <w:pPr>
        <w:pStyle w:val="BodyText"/>
        <w:spacing w:line="288" w:lineRule="auto"/>
        <w:ind w:left="100" w:right="144" w:firstLine="720"/>
        <w:jc w:val="both"/>
      </w:pPr>
      <w:r>
        <w:rPr/>
        <w:t>Second, multiple entries existed for players who changed teams mid-season. This cause their seasonal data to represent multiple samples with incomplete data. I wrote script to extract total season stats for these players, and discarded partial season rows.</w:t>
      </w:r>
    </w:p>
    <w:p>
      <w:pPr>
        <w:pStyle w:val="BodyText"/>
        <w:spacing w:line="288" w:lineRule="auto"/>
        <w:ind w:left="100" w:right="139" w:firstLine="720"/>
        <w:jc w:val="both"/>
      </w:pPr>
      <w:r>
        <w:rPr/>
        <w:t>Third, there were two short seasons in recent NBA history, during which less than the normal 82 games were played. This has caused stats in those seasons to be artificially smaller than other seasons. To correct that, I normalized cumulative features such as points, rebounds, etc. as if 82 games were played.</w:t>
      </w:r>
    </w:p>
    <w:p>
      <w:pPr>
        <w:pStyle w:val="BodyText"/>
        <w:spacing w:line="288" w:lineRule="auto"/>
        <w:ind w:left="100" w:right="138" w:firstLine="720"/>
        <w:jc w:val="both"/>
      </w:pPr>
      <w:r>
        <w:rPr/>
        <w:t>After fixing these problems, I checked for outliers in the data. I found there were some extreme outliers, mostly caused by some types of small sample size problem. For example, some players had only played a few games or a few minutes the entire season, and had performed extremely well or poor in those minutes. Therefore, seasons during which less than 20 games or 100 minutes were played were dropped from the dataset. Similarly, there were players who only took one 3-point shot, but made it, therefore had 100% shot accuracy. I changed the shot accuracies for players who shot less than 10 shots to missing values.</w:t>
      </w:r>
    </w:p>
    <w:p>
      <w:pPr>
        <w:pStyle w:val="BodyText"/>
        <w:spacing w:line="288" w:lineRule="auto"/>
        <w:ind w:left="100" w:right="138" w:firstLine="720"/>
        <w:jc w:val="both"/>
      </w:pPr>
      <w:r>
        <w:rPr/>
        <w:t>There were 4 features which had missing values. Games started were imputed from minutes played because starters usually play more minutes. Missing 3-point accuracies were imputed with a very small value (0.05) because if a player rarely shoots 3s, it is probably because he is not very good at it. Missing free throw accuracies were imputed using the mean of all players. Missing draft positions, meaning undrafted, were imputed using position 61 (the position after the last position in the draft, 60th).</w:t>
      </w:r>
    </w:p>
    <w:p>
      <w:pPr>
        <w:pStyle w:val="BodyText"/>
        <w:spacing w:before="7"/>
        <w:rPr>
          <w:sz w:val="25"/>
        </w:rPr>
      </w:pPr>
    </w:p>
    <w:p>
      <w:pPr>
        <w:pStyle w:val="Heading2"/>
        <w:numPr>
          <w:ilvl w:val="1"/>
          <w:numId w:val="1"/>
        </w:numPr>
        <w:tabs>
          <w:tab w:pos="460" w:val="left" w:leader="none"/>
        </w:tabs>
        <w:spacing w:line="240" w:lineRule="auto" w:before="1" w:after="0"/>
        <w:ind w:left="460" w:right="0" w:hanging="360"/>
        <w:jc w:val="left"/>
      </w:pPr>
      <w:r>
        <w:rPr/>
        <w:t>Feature selection</w:t>
      </w:r>
    </w:p>
    <w:p>
      <w:pPr>
        <w:pStyle w:val="BodyText"/>
        <w:spacing w:line="288" w:lineRule="auto" w:before="54"/>
        <w:ind w:left="100" w:right="149"/>
        <w:jc w:val="both"/>
      </w:pPr>
      <w:r>
        <w:rPr/>
        <w:t>After data cleaning, there were 13,378 samples and 49 features in the data. Upon examining the meaning of each feature, it was clear that there was some redundancy in the features. For</w:t>
      </w:r>
    </w:p>
    <w:p>
      <w:pPr>
        <w:spacing w:after="0" w:line="288" w:lineRule="auto"/>
        <w:jc w:val="both"/>
        <w:sectPr>
          <w:pgSz w:w="12240" w:h="15840"/>
          <w:pgMar w:top="1380" w:bottom="280" w:left="1340" w:right="1300"/>
        </w:sectPr>
      </w:pPr>
    </w:p>
    <w:p>
      <w:pPr>
        <w:pStyle w:val="BodyText"/>
        <w:spacing w:line="288" w:lineRule="auto" w:before="61"/>
        <w:ind w:left="100" w:right="139"/>
        <w:jc w:val="both"/>
      </w:pPr>
      <w:r>
        <w:rPr/>
        <w:t>example, there was a feature of the number of rebounds a player collected, and another feature of the rate of rebounds he collected. These two features contained very similar information (a player’s ability to rebound), with the difference being that the former feature increased with playing time, while the latter feature did not. Such total vs. rate relationship also existed between other features. These features are problematic for two reasons: (1) A player’s certain abilities were duplicated in two features. (2) A player’s playing time were duplicated in multiple features. In order to fix this, I decided to keep all features that were rates in nature, and drop their cumulative counterparts (Table 1).</w:t>
      </w:r>
    </w:p>
    <w:p>
      <w:pPr>
        <w:pStyle w:val="BodyText"/>
        <w:spacing w:line="288" w:lineRule="auto"/>
        <w:ind w:left="100" w:right="141" w:firstLine="720"/>
        <w:jc w:val="both"/>
      </w:pPr>
      <w:r>
        <w:rPr/>
        <w:t>There were also other redundancies, such as that total rebounds are the sum of offensive rebounds and defensive rebounds. For features that can be calculated by sum of other features, I decided to drop them (Table 1).</w:t>
      </w:r>
    </w:p>
    <w:p>
      <w:pPr>
        <w:pStyle w:val="BodyText"/>
        <w:spacing w:line="288" w:lineRule="auto"/>
        <w:ind w:left="100" w:right="138" w:firstLine="720"/>
        <w:jc w:val="both"/>
      </w:pPr>
      <w:r>
        <w:rPr/>
        <w:t>After discarding redundant features, I inspected the correlation of independent variables, and found several pairs that were highly correlated (Pearson correlation coefficient &gt; 0.9). For example, shots attempted, shots made, and points scored were highly correlated. This makes sense, after all, you score points by making shots. From these highly correlated features, only one was kept, others were dropped from the dataset. After all, 24 features were selected.</w:t>
      </w:r>
    </w:p>
    <w:p>
      <w:pPr>
        <w:pStyle w:val="BodyText"/>
        <w:spacing w:before="4"/>
        <w:rPr>
          <w:sz w:val="27"/>
        </w:rPr>
      </w:pPr>
    </w:p>
    <w:p>
      <w:pPr>
        <w:spacing w:before="0" w:after="43"/>
        <w:ind w:left="2365" w:right="0" w:firstLine="0"/>
        <w:jc w:val="left"/>
        <w:rPr>
          <w:sz w:val="22"/>
        </w:rPr>
      </w:pPr>
      <w:r>
        <w:rPr>
          <w:sz w:val="22"/>
        </w:rPr>
        <w:t>Table 1. Simple feature selection during data cleaning.</w:t>
      </w:r>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120"/>
        <w:gridCol w:w="3120"/>
        <w:gridCol w:w="3120"/>
      </w:tblGrid>
      <w:tr>
        <w:trPr>
          <w:trHeight w:val="475" w:hRule="atLeast"/>
        </w:trPr>
        <w:tc>
          <w:tcPr>
            <w:tcW w:w="3120" w:type="dxa"/>
          </w:tcPr>
          <w:p>
            <w:pPr>
              <w:pStyle w:val="TableParagraph"/>
              <w:spacing w:before="107"/>
              <w:ind w:left="130" w:right="149"/>
              <w:jc w:val="center"/>
              <w:rPr>
                <w:sz w:val="22"/>
              </w:rPr>
            </w:pPr>
            <w:r>
              <w:rPr>
                <w:sz w:val="22"/>
              </w:rPr>
              <w:t>Kept features</w:t>
            </w:r>
          </w:p>
        </w:tc>
        <w:tc>
          <w:tcPr>
            <w:tcW w:w="3120" w:type="dxa"/>
          </w:tcPr>
          <w:p>
            <w:pPr>
              <w:pStyle w:val="TableParagraph"/>
              <w:spacing w:before="107"/>
              <w:ind w:left="139" w:right="147"/>
              <w:jc w:val="center"/>
              <w:rPr>
                <w:sz w:val="22"/>
              </w:rPr>
            </w:pPr>
            <w:r>
              <w:rPr>
                <w:sz w:val="22"/>
              </w:rPr>
              <w:t>Dropped features</w:t>
            </w:r>
          </w:p>
        </w:tc>
        <w:tc>
          <w:tcPr>
            <w:tcW w:w="3120" w:type="dxa"/>
          </w:tcPr>
          <w:p>
            <w:pPr>
              <w:pStyle w:val="TableParagraph"/>
              <w:spacing w:before="107"/>
              <w:ind w:left="259"/>
              <w:rPr>
                <w:sz w:val="22"/>
              </w:rPr>
            </w:pPr>
            <w:r>
              <w:rPr>
                <w:sz w:val="22"/>
              </w:rPr>
              <w:t>Reason for dropping features</w:t>
            </w:r>
          </w:p>
        </w:tc>
      </w:tr>
      <w:tr>
        <w:trPr>
          <w:trHeight w:val="1015" w:hRule="atLeast"/>
        </w:trPr>
        <w:tc>
          <w:tcPr>
            <w:tcW w:w="3120" w:type="dxa"/>
          </w:tcPr>
          <w:p>
            <w:pPr>
              <w:pStyle w:val="TableParagraph"/>
              <w:rPr>
                <w:sz w:val="21"/>
              </w:rPr>
            </w:pPr>
          </w:p>
          <w:p>
            <w:pPr>
              <w:pStyle w:val="TableParagraph"/>
              <w:spacing w:line="256" w:lineRule="auto"/>
              <w:ind w:left="829" w:right="136" w:hanging="690"/>
              <w:rPr>
                <w:sz w:val="22"/>
              </w:rPr>
            </w:pPr>
            <w:r>
              <w:rPr>
                <w:sz w:val="22"/>
              </w:rPr>
              <w:t>TRB%, ORB%, AST%, STL%, BLK%, TOV%,</w:t>
            </w:r>
          </w:p>
        </w:tc>
        <w:tc>
          <w:tcPr>
            <w:tcW w:w="3120" w:type="dxa"/>
          </w:tcPr>
          <w:p>
            <w:pPr>
              <w:pStyle w:val="TableParagraph"/>
              <w:rPr>
                <w:sz w:val="21"/>
              </w:rPr>
            </w:pPr>
          </w:p>
          <w:p>
            <w:pPr>
              <w:pStyle w:val="TableParagraph"/>
              <w:spacing w:line="256" w:lineRule="auto"/>
              <w:ind w:left="1039" w:right="509" w:hanging="540"/>
              <w:rPr>
                <w:sz w:val="22"/>
              </w:rPr>
            </w:pPr>
            <w:r>
              <w:rPr>
                <w:sz w:val="22"/>
              </w:rPr>
              <w:t>TRB, ORB, AST, STL, BLK, TOV</w:t>
            </w:r>
          </w:p>
        </w:tc>
        <w:tc>
          <w:tcPr>
            <w:tcW w:w="3120" w:type="dxa"/>
          </w:tcPr>
          <w:p>
            <w:pPr>
              <w:pStyle w:val="TableParagraph"/>
              <w:spacing w:line="256" w:lineRule="auto" w:before="107"/>
              <w:ind w:left="139" w:right="149"/>
              <w:jc w:val="center"/>
              <w:rPr>
                <w:sz w:val="22"/>
              </w:rPr>
            </w:pPr>
            <w:r>
              <w:rPr>
                <w:sz w:val="22"/>
              </w:rPr>
              <w:t>Two similar features (one being total, one being rates) depicting the same ability of players.</w:t>
            </w:r>
          </w:p>
        </w:tc>
      </w:tr>
      <w:tr>
        <w:trPr>
          <w:trHeight w:val="745" w:hRule="atLeast"/>
        </w:trPr>
        <w:tc>
          <w:tcPr>
            <w:tcW w:w="3120" w:type="dxa"/>
          </w:tcPr>
          <w:p>
            <w:pPr>
              <w:pStyle w:val="TableParagraph"/>
              <w:rPr>
                <w:sz w:val="21"/>
              </w:rPr>
            </w:pPr>
          </w:p>
          <w:p>
            <w:pPr>
              <w:pStyle w:val="TableParagraph"/>
              <w:ind w:left="139" w:right="143"/>
              <w:jc w:val="center"/>
              <w:rPr>
                <w:sz w:val="22"/>
              </w:rPr>
            </w:pPr>
            <w:r>
              <w:rPr>
                <w:sz w:val="22"/>
              </w:rPr>
              <w:t>TRB%, ORB%, WS, OWS</w:t>
            </w:r>
          </w:p>
        </w:tc>
        <w:tc>
          <w:tcPr>
            <w:tcW w:w="3120" w:type="dxa"/>
          </w:tcPr>
          <w:p>
            <w:pPr>
              <w:pStyle w:val="TableParagraph"/>
              <w:rPr>
                <w:sz w:val="21"/>
              </w:rPr>
            </w:pPr>
          </w:p>
          <w:p>
            <w:pPr>
              <w:pStyle w:val="TableParagraph"/>
              <w:ind w:left="139" w:right="141"/>
              <w:jc w:val="center"/>
              <w:rPr>
                <w:sz w:val="22"/>
              </w:rPr>
            </w:pPr>
            <w:r>
              <w:rPr>
                <w:sz w:val="22"/>
              </w:rPr>
              <w:t>DRB%, DRB, DWS</w:t>
            </w:r>
          </w:p>
        </w:tc>
        <w:tc>
          <w:tcPr>
            <w:tcW w:w="3120" w:type="dxa"/>
          </w:tcPr>
          <w:p>
            <w:pPr>
              <w:pStyle w:val="TableParagraph"/>
              <w:spacing w:before="107"/>
              <w:ind w:left="139" w:right="141"/>
              <w:jc w:val="center"/>
              <w:rPr>
                <w:sz w:val="22"/>
              </w:rPr>
            </w:pPr>
            <w:r>
              <w:rPr>
                <w:sz w:val="22"/>
              </w:rPr>
              <w:t>Total = offense + defense.</w:t>
            </w:r>
          </w:p>
          <w:p>
            <w:pPr>
              <w:pStyle w:val="TableParagraph"/>
              <w:spacing w:before="17"/>
              <w:ind w:left="139" w:right="146"/>
              <w:jc w:val="center"/>
              <w:rPr>
                <w:sz w:val="22"/>
              </w:rPr>
            </w:pPr>
            <w:r>
              <w:rPr>
                <w:sz w:val="22"/>
              </w:rPr>
              <w:t>Dropped defense.</w:t>
            </w:r>
          </w:p>
        </w:tc>
      </w:tr>
      <w:tr>
        <w:trPr>
          <w:trHeight w:val="1015" w:hRule="atLeast"/>
        </w:trPr>
        <w:tc>
          <w:tcPr>
            <w:tcW w:w="3120" w:type="dxa"/>
          </w:tcPr>
          <w:p>
            <w:pPr>
              <w:pStyle w:val="TableParagraph"/>
              <w:spacing w:before="9"/>
              <w:rPr>
                <w:sz w:val="32"/>
              </w:rPr>
            </w:pPr>
          </w:p>
          <w:p>
            <w:pPr>
              <w:pStyle w:val="TableParagraph"/>
              <w:ind w:left="127" w:right="149"/>
              <w:jc w:val="center"/>
              <w:rPr>
                <w:sz w:val="22"/>
              </w:rPr>
            </w:pPr>
            <w:r>
              <w:rPr>
                <w:sz w:val="22"/>
              </w:rPr>
              <w:t>TS%, FGA, 3P%, 3PA</w:t>
            </w:r>
          </w:p>
        </w:tc>
        <w:tc>
          <w:tcPr>
            <w:tcW w:w="3120" w:type="dxa"/>
          </w:tcPr>
          <w:p>
            <w:pPr>
              <w:pStyle w:val="TableParagraph"/>
              <w:spacing w:before="9"/>
              <w:rPr>
                <w:sz w:val="32"/>
              </w:rPr>
            </w:pPr>
          </w:p>
          <w:p>
            <w:pPr>
              <w:pStyle w:val="TableParagraph"/>
              <w:ind w:left="139" w:right="140"/>
              <w:jc w:val="center"/>
              <w:rPr>
                <w:sz w:val="22"/>
              </w:rPr>
            </w:pPr>
            <w:r>
              <w:rPr>
                <w:sz w:val="22"/>
              </w:rPr>
              <w:t>2PA, 2P, 2P%</w:t>
            </w:r>
          </w:p>
        </w:tc>
        <w:tc>
          <w:tcPr>
            <w:tcW w:w="3120" w:type="dxa"/>
          </w:tcPr>
          <w:p>
            <w:pPr>
              <w:pStyle w:val="TableParagraph"/>
              <w:spacing w:line="256" w:lineRule="auto" w:before="107"/>
              <w:ind w:left="319" w:right="337"/>
              <w:jc w:val="center"/>
              <w:rPr>
                <w:sz w:val="22"/>
              </w:rPr>
            </w:pPr>
            <w:r>
              <w:rPr>
                <w:sz w:val="22"/>
              </w:rPr>
              <w:t>Field goal = 2-point shots + 3-point shots.</w:t>
            </w:r>
          </w:p>
          <w:p>
            <w:pPr>
              <w:pStyle w:val="TableParagraph"/>
              <w:spacing w:line="252" w:lineRule="exact"/>
              <w:ind w:left="133" w:right="149"/>
              <w:jc w:val="center"/>
              <w:rPr>
                <w:sz w:val="22"/>
              </w:rPr>
            </w:pPr>
            <w:r>
              <w:rPr>
                <w:sz w:val="22"/>
              </w:rPr>
              <w:t>Dropped 2-point shots.</w:t>
            </w:r>
          </w:p>
        </w:tc>
      </w:tr>
      <w:tr>
        <w:trPr>
          <w:trHeight w:val="1015" w:hRule="atLeast"/>
        </w:trPr>
        <w:tc>
          <w:tcPr>
            <w:tcW w:w="3120" w:type="dxa"/>
          </w:tcPr>
          <w:p>
            <w:pPr>
              <w:pStyle w:val="TableParagraph"/>
              <w:spacing w:before="9"/>
              <w:rPr>
                <w:sz w:val="32"/>
              </w:rPr>
            </w:pPr>
          </w:p>
          <w:p>
            <w:pPr>
              <w:pStyle w:val="TableParagraph"/>
              <w:ind w:left="131" w:right="149"/>
              <w:jc w:val="center"/>
              <w:rPr>
                <w:sz w:val="22"/>
              </w:rPr>
            </w:pPr>
            <w:r>
              <w:rPr>
                <w:sz w:val="22"/>
              </w:rPr>
              <w:t>TS%, WS</w:t>
            </w:r>
          </w:p>
        </w:tc>
        <w:tc>
          <w:tcPr>
            <w:tcW w:w="3120" w:type="dxa"/>
          </w:tcPr>
          <w:p>
            <w:pPr>
              <w:pStyle w:val="TableParagraph"/>
              <w:rPr>
                <w:sz w:val="21"/>
              </w:rPr>
            </w:pPr>
          </w:p>
          <w:p>
            <w:pPr>
              <w:pStyle w:val="TableParagraph"/>
              <w:spacing w:line="256" w:lineRule="auto"/>
              <w:ind w:left="859" w:right="312" w:hanging="555"/>
              <w:rPr>
                <w:sz w:val="22"/>
              </w:rPr>
            </w:pPr>
            <w:r>
              <w:rPr>
                <w:sz w:val="22"/>
              </w:rPr>
              <w:t>FG%, eFG%, VORP, BPM, OBPM, DBPM</w:t>
            </w:r>
          </w:p>
        </w:tc>
        <w:tc>
          <w:tcPr>
            <w:tcW w:w="3120" w:type="dxa"/>
          </w:tcPr>
          <w:p>
            <w:pPr>
              <w:pStyle w:val="TableParagraph"/>
              <w:spacing w:line="256" w:lineRule="auto" w:before="107"/>
              <w:ind w:left="154" w:right="159" w:hanging="21"/>
              <w:jc w:val="center"/>
              <w:rPr>
                <w:sz w:val="22"/>
              </w:rPr>
            </w:pPr>
            <w:r>
              <w:rPr>
                <w:sz w:val="22"/>
              </w:rPr>
              <w:t>Slightly different features that depict the same overall abilities of players.</w:t>
            </w:r>
          </w:p>
        </w:tc>
      </w:tr>
    </w:tbl>
    <w:p>
      <w:pPr>
        <w:pStyle w:val="BodyText"/>
      </w:pPr>
    </w:p>
    <w:p>
      <w:pPr>
        <w:pStyle w:val="BodyText"/>
      </w:pPr>
    </w:p>
    <w:p>
      <w:pPr>
        <w:pStyle w:val="Heading1"/>
        <w:numPr>
          <w:ilvl w:val="0"/>
          <w:numId w:val="1"/>
        </w:numPr>
        <w:tabs>
          <w:tab w:pos="380" w:val="left" w:leader="none"/>
        </w:tabs>
        <w:spacing w:line="240" w:lineRule="auto" w:before="176" w:after="0"/>
        <w:ind w:left="379" w:right="0" w:hanging="279"/>
        <w:jc w:val="left"/>
      </w:pPr>
      <w:r>
        <w:rPr/>
        <w:t>Exploratory Data</w:t>
      </w:r>
      <w:r>
        <w:rPr>
          <w:spacing w:val="-22"/>
        </w:rPr>
        <w:t> </w:t>
      </w:r>
      <w:r>
        <w:rPr/>
        <w:t>Analysis</w:t>
      </w:r>
    </w:p>
    <w:p>
      <w:pPr>
        <w:pStyle w:val="BodyText"/>
        <w:rPr>
          <w:b/>
          <w:sz w:val="34"/>
        </w:rPr>
      </w:pPr>
    </w:p>
    <w:p>
      <w:pPr>
        <w:pStyle w:val="Heading2"/>
        <w:numPr>
          <w:ilvl w:val="1"/>
          <w:numId w:val="1"/>
        </w:numPr>
        <w:tabs>
          <w:tab w:pos="460" w:val="left" w:leader="none"/>
        </w:tabs>
        <w:spacing w:line="240" w:lineRule="auto" w:before="0" w:after="0"/>
        <w:ind w:left="460" w:right="0" w:hanging="360"/>
        <w:jc w:val="left"/>
      </w:pPr>
      <w:r>
        <w:rPr/>
        <w:t>Calculation of target variable</w:t>
      </w:r>
    </w:p>
    <w:p>
      <w:pPr>
        <w:pStyle w:val="BodyText"/>
        <w:spacing w:line="288" w:lineRule="auto" w:before="54"/>
        <w:ind w:left="100"/>
      </w:pPr>
      <w:r>
        <w:rPr/>
        <w:t>Player improvement year over year was not a feature in the dataset, and had to be calculated. I chose to calculate the difference of win shares between two consecutive years as the target</w:t>
      </w:r>
    </w:p>
    <w:p>
      <w:pPr>
        <w:spacing w:after="0" w:line="288" w:lineRule="auto"/>
        <w:sectPr>
          <w:pgSz w:w="12240" w:h="15840"/>
          <w:pgMar w:top="1380" w:bottom="280" w:left="1340" w:right="1300"/>
        </w:sectPr>
      </w:pPr>
    </w:p>
    <w:p>
      <w:pPr>
        <w:pStyle w:val="BodyText"/>
        <w:spacing w:line="288" w:lineRule="auto" w:before="61"/>
        <w:ind w:left="100" w:right="138"/>
        <w:jc w:val="both"/>
      </w:pPr>
      <w:r>
        <w:rPr/>
        <w:t>variable. Win shares were chosen out of a few metrics because it is the most interpretable, after all, we play basketball to win. Calculated player improvement had a normal distribution centered around 0, with most values between -6 and 6. To verify if this calculation is consistent with people’s eye-test of player improvement, I plotted the rank of improvement of past Most Improved Players winners among all players, and found that in most cases, they were among the most improved players (Figure 1). This suggested that the chosen metric of player improvement, was a reasonable one.</w:t>
      </w:r>
    </w:p>
    <w:p>
      <w:pPr>
        <w:pStyle w:val="BodyText"/>
        <w:spacing w:before="11"/>
        <w:rPr>
          <w:sz w:val="27"/>
        </w:rPr>
      </w:pPr>
    </w:p>
    <w:p>
      <w:pPr>
        <w:pStyle w:val="Heading2"/>
        <w:numPr>
          <w:ilvl w:val="1"/>
          <w:numId w:val="1"/>
        </w:numPr>
        <w:tabs>
          <w:tab w:pos="460" w:val="left" w:leader="none"/>
        </w:tabs>
        <w:spacing w:line="240" w:lineRule="auto" w:before="0" w:after="0"/>
        <w:ind w:left="460" w:right="0" w:hanging="360"/>
        <w:jc w:val="left"/>
      </w:pPr>
      <w:r>
        <w:rPr/>
        <w:t>Relationship between improvement and age</w:t>
      </w:r>
    </w:p>
    <w:p>
      <w:pPr>
        <w:pStyle w:val="BodyText"/>
        <w:spacing w:line="288" w:lineRule="auto" w:before="54"/>
        <w:ind w:left="100" w:right="141"/>
        <w:jc w:val="both"/>
      </w:pPr>
      <w:r>
        <w:rPr/>
        <w:t>It is widely accepted that younger players are more likely to improve than older players, and it was indeed supported by our data. Players’ median improvement declined as players’ age increased (Figure 2), and the mean improvement of different age groups (&lt;25, 25-29, 30-34,</w:t>
      </w:r>
    </w:p>
    <w:p>
      <w:pPr>
        <w:pStyle w:val="BodyText"/>
        <w:spacing w:line="288" w:lineRule="auto"/>
        <w:ind w:left="100" w:right="141"/>
        <w:jc w:val="both"/>
      </w:pPr>
      <w:r>
        <w:rPr/>
        <w:t>&gt;35) were all significantly different from each other (z-test, p&lt;0.001, except for 30-34 vs. &gt;35, p=0.002).</w:t>
      </w:r>
    </w:p>
    <w:p>
      <w:pPr>
        <w:pStyle w:val="BodyText"/>
        <w:spacing w:before="4"/>
        <w:rPr>
          <w:sz w:val="27"/>
        </w:rPr>
      </w:pPr>
      <w:r>
        <w:rPr/>
        <w:drawing>
          <wp:anchor distT="0" distB="0" distL="0" distR="0" allowOverlap="1" layoutInCell="1" locked="0" behindDoc="1" simplePos="0" relativeHeight="268434431">
            <wp:simplePos x="0" y="0"/>
            <wp:positionH relativeFrom="page">
              <wp:posOffset>933450</wp:posOffset>
            </wp:positionH>
            <wp:positionV relativeFrom="paragraph">
              <wp:posOffset>224464</wp:posOffset>
            </wp:positionV>
            <wp:extent cx="5978337" cy="3573589"/>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8" cstate="print"/>
                    <a:stretch>
                      <a:fillRect/>
                    </a:stretch>
                  </pic:blipFill>
                  <pic:spPr>
                    <a:xfrm>
                      <a:off x="0" y="0"/>
                      <a:ext cx="5978337" cy="3573589"/>
                    </a:xfrm>
                    <a:prstGeom prst="rect">
                      <a:avLst/>
                    </a:prstGeom>
                  </pic:spPr>
                </pic:pic>
              </a:graphicData>
            </a:graphic>
          </wp:anchor>
        </w:drawing>
      </w:r>
    </w:p>
    <w:p>
      <w:pPr>
        <w:spacing w:before="48"/>
        <w:ind w:left="355" w:right="0" w:firstLine="0"/>
        <w:jc w:val="left"/>
        <w:rPr>
          <w:sz w:val="22"/>
        </w:rPr>
      </w:pPr>
      <w:r>
        <w:rPr>
          <w:sz w:val="22"/>
        </w:rPr>
        <w:t>Figure 1. Rank of delta-win-share of Most Improved Players winners among all players of each year</w:t>
      </w:r>
    </w:p>
    <w:p>
      <w:pPr>
        <w:spacing w:after="0"/>
        <w:jc w:val="left"/>
        <w:rPr>
          <w:sz w:val="22"/>
        </w:rPr>
        <w:sectPr>
          <w:pgSz w:w="12240" w:h="15840"/>
          <w:pgMar w:top="1380" w:bottom="280" w:left="1340" w:right="1300"/>
        </w:sectPr>
      </w:pPr>
    </w:p>
    <w:p>
      <w:pPr>
        <w:pStyle w:val="BodyText"/>
        <w:ind w:left="130"/>
        <w:rPr>
          <w:sz w:val="20"/>
        </w:rPr>
      </w:pPr>
      <w:r>
        <w:rPr>
          <w:sz w:val="20"/>
        </w:rPr>
        <w:drawing>
          <wp:inline distT="0" distB="0" distL="0" distR="0">
            <wp:extent cx="5966675" cy="3251073"/>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5966675" cy="3251073"/>
                    </a:xfrm>
                    <a:prstGeom prst="rect">
                      <a:avLst/>
                    </a:prstGeom>
                  </pic:spPr>
                </pic:pic>
              </a:graphicData>
            </a:graphic>
          </wp:inline>
        </w:drawing>
      </w:r>
      <w:r>
        <w:rPr>
          <w:sz w:val="20"/>
        </w:rPr>
      </w:r>
    </w:p>
    <w:p>
      <w:pPr>
        <w:spacing w:before="99"/>
        <w:ind w:left="1990" w:right="0" w:firstLine="0"/>
        <w:jc w:val="left"/>
        <w:rPr>
          <w:sz w:val="22"/>
        </w:rPr>
      </w:pPr>
      <w:r>
        <w:rPr>
          <w:sz w:val="22"/>
        </w:rPr>
        <w:t>Figure 2. Box plot of improvement of players of different ages.</w:t>
      </w:r>
    </w:p>
    <w:p>
      <w:pPr>
        <w:pStyle w:val="BodyText"/>
      </w:pPr>
    </w:p>
    <w:p>
      <w:pPr>
        <w:pStyle w:val="BodyText"/>
        <w:spacing w:before="7"/>
        <w:rPr>
          <w:sz w:val="34"/>
        </w:rPr>
      </w:pPr>
    </w:p>
    <w:p>
      <w:pPr>
        <w:pStyle w:val="Heading2"/>
        <w:numPr>
          <w:ilvl w:val="1"/>
          <w:numId w:val="1"/>
        </w:numPr>
        <w:tabs>
          <w:tab w:pos="520" w:val="left" w:leader="none"/>
        </w:tabs>
        <w:spacing w:line="240" w:lineRule="auto" w:before="0" w:after="0"/>
        <w:ind w:left="520" w:right="0" w:hanging="420"/>
        <w:jc w:val="left"/>
      </w:pPr>
      <w:r>
        <w:rPr/>
        <w:t>Relationship between improvement and overall ability</w:t>
      </w:r>
    </w:p>
    <w:p>
      <w:pPr>
        <w:pStyle w:val="BodyText"/>
        <w:spacing w:line="288" w:lineRule="auto" w:before="54"/>
        <w:ind w:left="100" w:right="140"/>
        <w:jc w:val="both"/>
      </w:pPr>
      <w:r>
        <w:rPr/>
        <w:t>The hypothesis here is that players who are already stars don’t have much room to improve, while a mediocre player can still improve. Our data were consistent with this hypothesis. Using win share per 48 minutes (WS/48) as a measure of a player’s overall ability, I observed a negative relationship between a player’s overall ability and his improvement next season (Figure 3). The mean improvement of star players (WS/48 &gt; 0.2), solid players (WS/48 between 0.1 and 0.2), rotational players (WS/48 between 0 and 0.1), and “scrubs” (WS/48 below 0) were significantly different from each other (z-test, p&lt;0.001) (Figure 4).</w:t>
      </w:r>
    </w:p>
    <w:p>
      <w:pPr>
        <w:pStyle w:val="BodyText"/>
        <w:spacing w:before="11"/>
        <w:rPr>
          <w:sz w:val="27"/>
        </w:rPr>
      </w:pPr>
    </w:p>
    <w:p>
      <w:pPr>
        <w:pStyle w:val="Heading2"/>
        <w:numPr>
          <w:ilvl w:val="1"/>
          <w:numId w:val="1"/>
        </w:numPr>
        <w:tabs>
          <w:tab w:pos="460" w:val="left" w:leader="none"/>
        </w:tabs>
        <w:spacing w:line="240" w:lineRule="auto" w:before="0" w:after="0"/>
        <w:ind w:left="460" w:right="0" w:hanging="360"/>
        <w:jc w:val="left"/>
      </w:pPr>
      <w:r>
        <w:rPr/>
        <w:t>Relationship between improvement and minutes played</w:t>
      </w:r>
    </w:p>
    <w:p>
      <w:pPr>
        <w:pStyle w:val="BodyText"/>
        <w:spacing w:line="288" w:lineRule="auto" w:before="54"/>
        <w:ind w:left="100" w:right="141"/>
        <w:jc w:val="both"/>
      </w:pPr>
      <w:r>
        <w:rPr/>
        <w:t>I hypothesized that players with less playing time might be more likely to improve. If a team recognizes a player's positive contribution during his limited time, he is likely to get more playing time, and therefore increase his production and/or improve his skills. On the other hand, if a good player is already a starter, he is already playing a lot of minutes and can't get more playing time. After inspecting the data, it was true that players who played less than 25 minutes a game had statistically higher improvement than those who played more than 25 minutes a game (z-test, p&lt;0.001). However, the actual difference of mean between the two groups was small (~0.7).</w:t>
      </w:r>
    </w:p>
    <w:p>
      <w:pPr>
        <w:spacing w:after="0" w:line="288" w:lineRule="auto"/>
        <w:jc w:val="both"/>
        <w:sectPr>
          <w:pgSz w:w="12240" w:h="15840"/>
          <w:pgMar w:top="1460" w:bottom="280" w:left="1340" w:right="1300"/>
        </w:sectPr>
      </w:pPr>
    </w:p>
    <w:p>
      <w:pPr>
        <w:pStyle w:val="Heading2"/>
        <w:numPr>
          <w:ilvl w:val="1"/>
          <w:numId w:val="1"/>
        </w:numPr>
        <w:tabs>
          <w:tab w:pos="460" w:val="left" w:leader="none"/>
        </w:tabs>
        <w:spacing w:line="240" w:lineRule="auto" w:before="61" w:after="0"/>
        <w:ind w:left="460" w:right="0" w:hanging="360"/>
        <w:jc w:val="left"/>
      </w:pPr>
      <w:r>
        <w:rPr/>
        <w:t>Relationship between improvement and games played</w:t>
      </w:r>
    </w:p>
    <w:p>
      <w:pPr>
        <w:pStyle w:val="BodyText"/>
        <w:spacing w:line="288" w:lineRule="auto" w:before="54"/>
        <w:ind w:left="100" w:right="138"/>
        <w:jc w:val="both"/>
      </w:pPr>
      <w:r>
        <w:rPr/>
        <w:t>I observed a negative relationship between player improvement and the games played (Figure 5). If a good player missed significant numbers of games, it was probably because of injury, which might have negatively impacted his performance. He might return to his former form next season, and therefore improve. Players who played fewer than 50 games were more likely to improve than those who played more than 50 games. (z-test, p&lt;0.001, difference of mean=1.3).</w:t>
      </w:r>
    </w:p>
    <w:p>
      <w:pPr>
        <w:pStyle w:val="BodyText"/>
        <w:rPr>
          <w:sz w:val="20"/>
        </w:rPr>
      </w:pPr>
    </w:p>
    <w:p>
      <w:pPr>
        <w:pStyle w:val="BodyText"/>
        <w:rPr>
          <w:sz w:val="20"/>
        </w:rPr>
      </w:pPr>
    </w:p>
    <w:p>
      <w:pPr>
        <w:pStyle w:val="BodyText"/>
        <w:rPr>
          <w:sz w:val="16"/>
        </w:rPr>
      </w:pPr>
      <w:r>
        <w:rPr/>
        <w:drawing>
          <wp:anchor distT="0" distB="0" distL="0" distR="0" allowOverlap="1" layoutInCell="1" locked="0" behindDoc="1" simplePos="0" relativeHeight="268434455">
            <wp:simplePos x="0" y="0"/>
            <wp:positionH relativeFrom="page">
              <wp:posOffset>2047875</wp:posOffset>
            </wp:positionH>
            <wp:positionV relativeFrom="paragraph">
              <wp:posOffset>141733</wp:posOffset>
            </wp:positionV>
            <wp:extent cx="3658701" cy="3611308"/>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3658701" cy="3611308"/>
                    </a:xfrm>
                    <a:prstGeom prst="rect">
                      <a:avLst/>
                    </a:prstGeom>
                  </pic:spPr>
                </pic:pic>
              </a:graphicData>
            </a:graphic>
          </wp:anchor>
        </w:drawing>
      </w:r>
    </w:p>
    <w:p>
      <w:pPr>
        <w:spacing w:before="108"/>
        <w:ind w:left="190" w:right="0" w:firstLine="0"/>
        <w:jc w:val="left"/>
        <w:rPr>
          <w:sz w:val="22"/>
        </w:rPr>
      </w:pPr>
      <w:r>
        <w:rPr>
          <w:sz w:val="22"/>
        </w:rPr>
        <w:t>Figure</w:t>
      </w:r>
      <w:r>
        <w:rPr>
          <w:spacing w:val="-6"/>
          <w:sz w:val="22"/>
        </w:rPr>
        <w:t> </w:t>
      </w:r>
      <w:r>
        <w:rPr>
          <w:sz w:val="22"/>
        </w:rPr>
        <w:t>3.</w:t>
      </w:r>
      <w:r>
        <w:rPr>
          <w:spacing w:val="-5"/>
          <w:sz w:val="22"/>
        </w:rPr>
        <w:t> </w:t>
      </w:r>
      <w:r>
        <w:rPr>
          <w:sz w:val="22"/>
        </w:rPr>
        <w:t>Scatter</w:t>
      </w:r>
      <w:r>
        <w:rPr>
          <w:spacing w:val="-6"/>
          <w:sz w:val="22"/>
        </w:rPr>
        <w:t> </w:t>
      </w:r>
      <w:r>
        <w:rPr>
          <w:sz w:val="22"/>
        </w:rPr>
        <w:t>plot</w:t>
      </w:r>
      <w:r>
        <w:rPr>
          <w:spacing w:val="-5"/>
          <w:sz w:val="22"/>
        </w:rPr>
        <w:t> </w:t>
      </w:r>
      <w:r>
        <w:rPr>
          <w:sz w:val="22"/>
        </w:rPr>
        <w:t>of</w:t>
      </w:r>
      <w:r>
        <w:rPr>
          <w:spacing w:val="-5"/>
          <w:sz w:val="22"/>
        </w:rPr>
        <w:t> </w:t>
      </w:r>
      <w:r>
        <w:rPr>
          <w:sz w:val="22"/>
        </w:rPr>
        <w:t>improvement</w:t>
      </w:r>
      <w:r>
        <w:rPr>
          <w:spacing w:val="-6"/>
          <w:sz w:val="22"/>
        </w:rPr>
        <w:t> </w:t>
      </w:r>
      <w:r>
        <w:rPr>
          <w:sz w:val="22"/>
        </w:rPr>
        <w:t>and</w:t>
      </w:r>
      <w:r>
        <w:rPr>
          <w:spacing w:val="-5"/>
          <w:sz w:val="22"/>
        </w:rPr>
        <w:t> </w:t>
      </w:r>
      <w:r>
        <w:rPr>
          <w:sz w:val="22"/>
        </w:rPr>
        <w:t>player</w:t>
      </w:r>
      <w:r>
        <w:rPr>
          <w:spacing w:val="-5"/>
          <w:sz w:val="22"/>
        </w:rPr>
        <w:t> </w:t>
      </w:r>
      <w:r>
        <w:rPr>
          <w:sz w:val="22"/>
        </w:rPr>
        <w:t>overall</w:t>
      </w:r>
      <w:r>
        <w:rPr>
          <w:spacing w:val="-6"/>
          <w:sz w:val="22"/>
        </w:rPr>
        <w:t> </w:t>
      </w:r>
      <w:r>
        <w:rPr>
          <w:sz w:val="22"/>
        </w:rPr>
        <w:t>ability</w:t>
      </w:r>
      <w:r>
        <w:rPr>
          <w:spacing w:val="-5"/>
          <w:sz w:val="22"/>
        </w:rPr>
        <w:t> </w:t>
      </w:r>
      <w:r>
        <w:rPr>
          <w:sz w:val="22"/>
        </w:rPr>
        <w:t>(measured</w:t>
      </w:r>
      <w:r>
        <w:rPr>
          <w:spacing w:val="-6"/>
          <w:sz w:val="22"/>
        </w:rPr>
        <w:t> </w:t>
      </w:r>
      <w:r>
        <w:rPr>
          <w:sz w:val="22"/>
        </w:rPr>
        <w:t>by</w:t>
      </w:r>
      <w:r>
        <w:rPr>
          <w:spacing w:val="-5"/>
          <w:sz w:val="22"/>
        </w:rPr>
        <w:t> </w:t>
      </w:r>
      <w:r>
        <w:rPr>
          <w:sz w:val="22"/>
        </w:rPr>
        <w:t>win</w:t>
      </w:r>
      <w:r>
        <w:rPr>
          <w:spacing w:val="-5"/>
          <w:sz w:val="22"/>
        </w:rPr>
        <w:t> </w:t>
      </w:r>
      <w:r>
        <w:rPr>
          <w:sz w:val="22"/>
        </w:rPr>
        <w:t>share</w:t>
      </w:r>
      <w:r>
        <w:rPr>
          <w:spacing w:val="-6"/>
          <w:sz w:val="22"/>
        </w:rPr>
        <w:t> </w:t>
      </w:r>
      <w:r>
        <w:rPr>
          <w:sz w:val="22"/>
        </w:rPr>
        <w:t>per</w:t>
      </w:r>
      <w:r>
        <w:rPr>
          <w:spacing w:val="-5"/>
          <w:sz w:val="22"/>
        </w:rPr>
        <w:t> </w:t>
      </w:r>
      <w:r>
        <w:rPr>
          <w:sz w:val="22"/>
        </w:rPr>
        <w:t>48</w:t>
      </w:r>
      <w:r>
        <w:rPr>
          <w:spacing w:val="-5"/>
          <w:sz w:val="22"/>
        </w:rPr>
        <w:t> </w:t>
      </w:r>
      <w:r>
        <w:rPr>
          <w:sz w:val="22"/>
        </w:rPr>
        <w:t>minutes)</w:t>
      </w:r>
    </w:p>
    <w:p>
      <w:pPr>
        <w:spacing w:after="0"/>
        <w:jc w:val="left"/>
        <w:rPr>
          <w:sz w:val="22"/>
        </w:rPr>
        <w:sectPr>
          <w:pgSz w:w="12240" w:h="15840"/>
          <w:pgMar w:top="1380" w:bottom="280" w:left="1340" w:right="1300"/>
        </w:sectPr>
      </w:pPr>
    </w:p>
    <w:p>
      <w:pPr>
        <w:pStyle w:val="BodyText"/>
        <w:ind w:left="775"/>
        <w:rPr>
          <w:sz w:val="20"/>
        </w:rPr>
      </w:pPr>
      <w:r>
        <w:rPr>
          <w:sz w:val="20"/>
        </w:rPr>
        <w:drawing>
          <wp:inline distT="0" distB="0" distL="0" distR="0">
            <wp:extent cx="5092183" cy="3410712"/>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1" cstate="print"/>
                    <a:stretch>
                      <a:fillRect/>
                    </a:stretch>
                  </pic:blipFill>
                  <pic:spPr>
                    <a:xfrm>
                      <a:off x="0" y="0"/>
                      <a:ext cx="5092183" cy="3410712"/>
                    </a:xfrm>
                    <a:prstGeom prst="rect">
                      <a:avLst/>
                    </a:prstGeom>
                  </pic:spPr>
                </pic:pic>
              </a:graphicData>
            </a:graphic>
          </wp:inline>
        </w:drawing>
      </w:r>
      <w:r>
        <w:rPr>
          <w:sz w:val="20"/>
        </w:rPr>
      </w:r>
    </w:p>
    <w:p>
      <w:pPr>
        <w:spacing w:before="87"/>
        <w:ind w:left="151" w:right="200" w:firstLine="0"/>
        <w:jc w:val="center"/>
        <w:rPr>
          <w:sz w:val="22"/>
        </w:rPr>
      </w:pPr>
      <w:r>
        <w:rPr>
          <w:sz w:val="22"/>
        </w:rPr>
        <w:t>Figure 4. Histogram of player improvement separated into 4 groups based on how good a player is.</w:t>
      </w:r>
    </w:p>
    <w:p>
      <w:pPr>
        <w:pStyle w:val="BodyText"/>
        <w:rPr>
          <w:sz w:val="29"/>
        </w:rPr>
      </w:pPr>
      <w:r>
        <w:rPr/>
        <w:drawing>
          <wp:anchor distT="0" distB="0" distL="0" distR="0" allowOverlap="1" layoutInCell="1" locked="0" behindDoc="1" simplePos="0" relativeHeight="268434479">
            <wp:simplePos x="0" y="0"/>
            <wp:positionH relativeFrom="page">
              <wp:posOffset>1828800</wp:posOffset>
            </wp:positionH>
            <wp:positionV relativeFrom="paragraph">
              <wp:posOffset>236868</wp:posOffset>
            </wp:positionV>
            <wp:extent cx="4114800" cy="4057650"/>
            <wp:effectExtent l="0" t="0" r="0" b="0"/>
            <wp:wrapTopAndBottom/>
            <wp:docPr id="9" name="image5.png" descr=""/>
            <wp:cNvGraphicFramePr>
              <a:graphicFrameLocks noChangeAspect="1"/>
            </wp:cNvGraphicFramePr>
            <a:graphic>
              <a:graphicData uri="http://schemas.openxmlformats.org/drawingml/2006/picture">
                <pic:pic>
                  <pic:nvPicPr>
                    <pic:cNvPr id="10" name="image5.png"/>
                    <pic:cNvPicPr/>
                  </pic:nvPicPr>
                  <pic:blipFill>
                    <a:blip r:embed="rId12" cstate="print"/>
                    <a:stretch>
                      <a:fillRect/>
                    </a:stretch>
                  </pic:blipFill>
                  <pic:spPr>
                    <a:xfrm>
                      <a:off x="0" y="0"/>
                      <a:ext cx="4114800" cy="4057650"/>
                    </a:xfrm>
                    <a:prstGeom prst="rect">
                      <a:avLst/>
                    </a:prstGeom>
                  </pic:spPr>
                </pic:pic>
              </a:graphicData>
            </a:graphic>
          </wp:anchor>
        </w:drawing>
      </w:r>
    </w:p>
    <w:p>
      <w:pPr>
        <w:spacing w:before="65"/>
        <w:ind w:left="133" w:right="200" w:firstLine="0"/>
        <w:jc w:val="center"/>
        <w:rPr>
          <w:sz w:val="22"/>
        </w:rPr>
      </w:pPr>
      <w:r>
        <w:rPr>
          <w:sz w:val="22"/>
        </w:rPr>
        <w:t>Figure 5. Scatter plot of player improvement and games played.</w:t>
      </w:r>
    </w:p>
    <w:p>
      <w:pPr>
        <w:spacing w:after="0"/>
        <w:jc w:val="center"/>
        <w:rPr>
          <w:sz w:val="22"/>
        </w:rPr>
        <w:sectPr>
          <w:pgSz w:w="12240" w:h="15840"/>
          <w:pgMar w:top="1460" w:bottom="280" w:left="1340" w:right="1300"/>
        </w:sectPr>
      </w:pPr>
    </w:p>
    <w:p>
      <w:pPr>
        <w:pStyle w:val="Heading2"/>
        <w:numPr>
          <w:ilvl w:val="1"/>
          <w:numId w:val="1"/>
        </w:numPr>
        <w:tabs>
          <w:tab w:pos="460" w:val="left" w:leader="none"/>
        </w:tabs>
        <w:spacing w:line="240" w:lineRule="auto" w:before="61" w:after="0"/>
        <w:ind w:left="460" w:right="0" w:hanging="360"/>
        <w:jc w:val="left"/>
      </w:pPr>
      <w:r>
        <w:rPr/>
        <w:t>Relationship between improvement and positions</w:t>
      </w:r>
    </w:p>
    <w:p>
      <w:pPr>
        <w:pStyle w:val="BodyText"/>
        <w:spacing w:line="288" w:lineRule="auto" w:before="54"/>
        <w:ind w:left="100" w:right="144"/>
        <w:jc w:val="both"/>
      </w:pPr>
      <w:r>
        <w:rPr/>
        <w:t>There is this myth among NBA fans that frontcourt players take longer to adapt to the NBA than backcourt players, therefore they would have smaller improvement in the first few years. I transformed the feature of player position into a binary feature (frontcourt vs. backcourt players) and found that there was no difference between frontcourt and backcourt players in their improvements, even in their first 2 years (z-test, p=0.34)</w:t>
      </w:r>
    </w:p>
    <w:p>
      <w:pPr>
        <w:pStyle w:val="BodyText"/>
        <w:spacing w:before="2"/>
        <w:rPr>
          <w:sz w:val="28"/>
        </w:rPr>
      </w:pPr>
    </w:p>
    <w:p>
      <w:pPr>
        <w:pStyle w:val="Heading2"/>
        <w:numPr>
          <w:ilvl w:val="1"/>
          <w:numId w:val="1"/>
        </w:numPr>
        <w:tabs>
          <w:tab w:pos="460" w:val="left" w:leader="none"/>
        </w:tabs>
        <w:spacing w:line="240" w:lineRule="auto" w:before="0" w:after="0"/>
        <w:ind w:left="460" w:right="0" w:hanging="360"/>
        <w:jc w:val="left"/>
      </w:pPr>
      <w:r>
        <w:rPr/>
        <w:t>Relationship between improvement and last year’s improvement</w:t>
      </w:r>
    </w:p>
    <w:p>
      <w:pPr>
        <w:pStyle w:val="BodyText"/>
        <w:spacing w:line="288" w:lineRule="auto" w:before="54"/>
        <w:ind w:left="100" w:right="138"/>
        <w:jc w:val="both"/>
      </w:pPr>
      <w:r>
        <w:rPr/>
        <w:t>I hypothesized that a player’s improvement might be correlated with his previous improvement, because younger players might improve continuously for a few years, and older players might decline for a few years straight. It turned out that the relationship between improvement and prior improvement was negative (Figure 6). In other words, more often than not, a player will “regress to the mean” rather than continuously improve or decline.</w:t>
      </w:r>
    </w:p>
    <w:p>
      <w:pPr>
        <w:pStyle w:val="BodyText"/>
        <w:spacing w:before="3"/>
        <w:rPr>
          <w:sz w:val="27"/>
        </w:rPr>
      </w:pPr>
      <w:r>
        <w:rPr/>
        <w:drawing>
          <wp:anchor distT="0" distB="0" distL="0" distR="0" allowOverlap="1" layoutInCell="1" locked="0" behindDoc="1" simplePos="0" relativeHeight="268434503">
            <wp:simplePos x="0" y="0"/>
            <wp:positionH relativeFrom="page">
              <wp:posOffset>1828800</wp:posOffset>
            </wp:positionH>
            <wp:positionV relativeFrom="paragraph">
              <wp:posOffset>224380</wp:posOffset>
            </wp:positionV>
            <wp:extent cx="4114800" cy="4057650"/>
            <wp:effectExtent l="0" t="0" r="0" b="0"/>
            <wp:wrapTopAndBottom/>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3" cstate="print"/>
                    <a:stretch>
                      <a:fillRect/>
                    </a:stretch>
                  </pic:blipFill>
                  <pic:spPr>
                    <a:xfrm>
                      <a:off x="0" y="0"/>
                      <a:ext cx="4114800" cy="4057650"/>
                    </a:xfrm>
                    <a:prstGeom prst="rect">
                      <a:avLst/>
                    </a:prstGeom>
                  </pic:spPr>
                </pic:pic>
              </a:graphicData>
            </a:graphic>
          </wp:anchor>
        </w:drawing>
      </w:r>
    </w:p>
    <w:p>
      <w:pPr>
        <w:spacing w:before="80"/>
        <w:ind w:left="1810" w:right="0" w:firstLine="0"/>
        <w:jc w:val="left"/>
        <w:rPr>
          <w:sz w:val="22"/>
        </w:rPr>
      </w:pPr>
      <w:r>
        <w:rPr>
          <w:sz w:val="22"/>
        </w:rPr>
        <w:t>Figure 6. Scatter plot of player improvement and that of last season</w:t>
      </w:r>
    </w:p>
    <w:p>
      <w:pPr>
        <w:spacing w:after="0"/>
        <w:jc w:val="left"/>
        <w:rPr>
          <w:sz w:val="22"/>
        </w:rPr>
        <w:sectPr>
          <w:pgSz w:w="12240" w:h="15840"/>
          <w:pgMar w:top="1380" w:bottom="280" w:left="1340" w:right="1300"/>
        </w:sectPr>
      </w:pPr>
    </w:p>
    <w:p>
      <w:pPr>
        <w:pStyle w:val="Heading2"/>
        <w:numPr>
          <w:ilvl w:val="1"/>
          <w:numId w:val="1"/>
        </w:numPr>
        <w:tabs>
          <w:tab w:pos="460" w:val="left" w:leader="none"/>
        </w:tabs>
        <w:spacing w:line="240" w:lineRule="auto" w:before="61" w:after="0"/>
        <w:ind w:left="460" w:right="0" w:hanging="360"/>
        <w:jc w:val="left"/>
      </w:pPr>
      <w:r>
        <w:rPr/>
        <w:t>Relationship between improvement and draft positions</w:t>
      </w:r>
    </w:p>
    <w:p>
      <w:pPr>
        <w:pStyle w:val="BodyText"/>
        <w:spacing w:line="288" w:lineRule="auto" w:before="54"/>
        <w:ind w:left="100" w:right="145"/>
        <w:jc w:val="both"/>
      </w:pPr>
      <w:r>
        <w:rPr/>
        <w:t>I, as many other basketball fans, thought that players drafted earlier are generally more talented and therefore more likely to improve than players drafted later, at least in their early years. It turned out this was only true for a few really young and talented players (Figure 7) . Players under the age 20 with different draft positions did not have statistically different improvement (z-test, p=0.16).</w:t>
      </w:r>
    </w:p>
    <w:p>
      <w:pPr>
        <w:pStyle w:val="BodyText"/>
        <w:spacing w:before="2"/>
        <w:rPr>
          <w:sz w:val="28"/>
        </w:rPr>
      </w:pPr>
    </w:p>
    <w:p>
      <w:pPr>
        <w:pStyle w:val="Heading2"/>
        <w:numPr>
          <w:ilvl w:val="1"/>
          <w:numId w:val="1"/>
        </w:numPr>
        <w:tabs>
          <w:tab w:pos="460" w:val="left" w:leader="none"/>
        </w:tabs>
        <w:spacing w:line="240" w:lineRule="auto" w:before="0" w:after="0"/>
        <w:ind w:left="460" w:right="0" w:hanging="360"/>
        <w:jc w:val="left"/>
      </w:pPr>
      <w:r>
        <w:rPr/>
        <w:t>Relationship between improvement and teams</w:t>
      </w:r>
    </w:p>
    <w:p>
      <w:pPr>
        <w:pStyle w:val="BodyText"/>
        <w:spacing w:line="288" w:lineRule="auto" w:before="54"/>
        <w:ind w:left="100" w:right="142"/>
        <w:jc w:val="both"/>
      </w:pPr>
      <w:r>
        <w:rPr/>
        <w:t>I engineered two features based on team information: was a player on a good or bad team, and did the player change team next season. Player improvement and team strength (measured by total win shares) had a very weak negative relationship. Players that changed teams were slightly more likely to improve than players that stayed on the same team (z-test, p&lt;0.001, difference of mean = 0.2).</w:t>
      </w:r>
    </w:p>
    <w:p>
      <w:pPr>
        <w:pStyle w:val="BodyText"/>
        <w:spacing w:before="3"/>
        <w:rPr>
          <w:sz w:val="27"/>
        </w:rPr>
      </w:pPr>
      <w:r>
        <w:rPr/>
        <w:drawing>
          <wp:anchor distT="0" distB="0" distL="0" distR="0" allowOverlap="1" layoutInCell="1" locked="0" behindDoc="1" simplePos="0" relativeHeight="268434527">
            <wp:simplePos x="0" y="0"/>
            <wp:positionH relativeFrom="page">
              <wp:posOffset>933450</wp:posOffset>
            </wp:positionH>
            <wp:positionV relativeFrom="paragraph">
              <wp:posOffset>224380</wp:posOffset>
            </wp:positionV>
            <wp:extent cx="5966675" cy="3251073"/>
            <wp:effectExtent l="0" t="0" r="0" b="0"/>
            <wp:wrapTopAndBottom/>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4" cstate="print"/>
                    <a:stretch>
                      <a:fillRect/>
                    </a:stretch>
                  </pic:blipFill>
                  <pic:spPr>
                    <a:xfrm>
                      <a:off x="0" y="0"/>
                      <a:ext cx="5966675" cy="3251073"/>
                    </a:xfrm>
                    <a:prstGeom prst="rect">
                      <a:avLst/>
                    </a:prstGeom>
                  </pic:spPr>
                </pic:pic>
              </a:graphicData>
            </a:graphic>
          </wp:anchor>
        </w:drawing>
      </w:r>
    </w:p>
    <w:p>
      <w:pPr>
        <w:spacing w:before="46"/>
        <w:ind w:left="1225" w:right="0" w:firstLine="0"/>
        <w:jc w:val="left"/>
        <w:rPr>
          <w:sz w:val="22"/>
        </w:rPr>
      </w:pPr>
      <w:r>
        <w:rPr>
          <w:sz w:val="22"/>
        </w:rPr>
        <w:t>Figure 7. Box plot of player improvement among different draft groups and ages</w:t>
      </w:r>
    </w:p>
    <w:p>
      <w:pPr>
        <w:pStyle w:val="BodyText"/>
      </w:pPr>
    </w:p>
    <w:p>
      <w:pPr>
        <w:pStyle w:val="BodyText"/>
      </w:pPr>
    </w:p>
    <w:p>
      <w:pPr>
        <w:pStyle w:val="Heading1"/>
        <w:numPr>
          <w:ilvl w:val="0"/>
          <w:numId w:val="1"/>
        </w:numPr>
        <w:tabs>
          <w:tab w:pos="380" w:val="left" w:leader="none"/>
        </w:tabs>
        <w:spacing w:line="240" w:lineRule="auto" w:before="189" w:after="0"/>
        <w:ind w:left="379" w:right="0" w:hanging="279"/>
        <w:jc w:val="left"/>
      </w:pPr>
      <w:r>
        <w:rPr/>
        <w:t>Predictive</w:t>
      </w:r>
      <w:r>
        <w:rPr>
          <w:spacing w:val="-2"/>
        </w:rPr>
        <w:t> </w:t>
      </w:r>
      <w:r>
        <w:rPr/>
        <w:t>Modeling</w:t>
      </w:r>
    </w:p>
    <w:p>
      <w:pPr>
        <w:pStyle w:val="BodyText"/>
        <w:spacing w:before="10"/>
        <w:rPr>
          <w:b/>
          <w:sz w:val="33"/>
        </w:rPr>
      </w:pPr>
    </w:p>
    <w:p>
      <w:pPr>
        <w:pStyle w:val="BodyText"/>
        <w:spacing w:line="288" w:lineRule="auto"/>
        <w:ind w:left="100" w:right="139"/>
        <w:jc w:val="both"/>
      </w:pPr>
      <w:r>
        <w:rPr/>
        <w:t>There are two types of models, regression and classification, that can be used to predict player improvement. Regression models can provide additional information on the amount of improvement, while classification models focus on the probabilities a player might improve. The underlying algorithms are similar between regression and classification models, but different</w:t>
      </w:r>
    </w:p>
    <w:p>
      <w:pPr>
        <w:spacing w:after="0" w:line="288" w:lineRule="auto"/>
        <w:jc w:val="both"/>
        <w:sectPr>
          <w:pgSz w:w="12240" w:h="15840"/>
          <w:pgMar w:top="1380" w:bottom="280" w:left="1340" w:right="1300"/>
        </w:sectPr>
      </w:pPr>
    </w:p>
    <w:p>
      <w:pPr>
        <w:pStyle w:val="BodyText"/>
        <w:spacing w:line="288" w:lineRule="auto" w:before="61"/>
        <w:ind w:left="100" w:right="139"/>
        <w:jc w:val="both"/>
      </w:pPr>
      <w:r>
        <w:rPr/>
        <w:t>audience might prefer one over the other. For example, an NBA team executive might be more interested in the amount of improvement (regression models), but a general NBA fan might find the results of classification models more interpretable. Therefore, in this study, I carried out both regression and classification modeling.</w:t>
      </w:r>
    </w:p>
    <w:p>
      <w:pPr>
        <w:pStyle w:val="BodyText"/>
        <w:spacing w:before="3"/>
        <w:rPr>
          <w:sz w:val="28"/>
        </w:rPr>
      </w:pPr>
    </w:p>
    <w:p>
      <w:pPr>
        <w:pStyle w:val="Heading2"/>
        <w:numPr>
          <w:ilvl w:val="1"/>
          <w:numId w:val="1"/>
        </w:numPr>
        <w:tabs>
          <w:tab w:pos="460" w:val="left" w:leader="none"/>
        </w:tabs>
        <w:spacing w:line="240" w:lineRule="auto" w:before="0" w:after="0"/>
        <w:ind w:left="460" w:right="0" w:hanging="360"/>
        <w:jc w:val="left"/>
      </w:pPr>
      <w:r>
        <w:rPr/>
        <w:t>Regression models</w:t>
      </w:r>
    </w:p>
    <w:p>
      <w:pPr>
        <w:pStyle w:val="ListParagraph"/>
        <w:numPr>
          <w:ilvl w:val="2"/>
          <w:numId w:val="1"/>
        </w:numPr>
        <w:tabs>
          <w:tab w:pos="640" w:val="left" w:leader="none"/>
        </w:tabs>
        <w:spacing w:line="240" w:lineRule="auto" w:before="54" w:after="0"/>
        <w:ind w:left="640" w:right="0" w:hanging="540"/>
        <w:jc w:val="left"/>
        <w:rPr>
          <w:b/>
          <w:sz w:val="24"/>
        </w:rPr>
      </w:pPr>
      <w:r>
        <w:rPr>
          <w:b/>
          <w:sz w:val="24"/>
        </w:rPr>
        <w:t>Applying standard algorithms and their problems</w:t>
      </w:r>
    </w:p>
    <w:p>
      <w:pPr>
        <w:pStyle w:val="BodyText"/>
        <w:spacing w:line="288" w:lineRule="auto" w:before="54"/>
        <w:ind w:left="100" w:right="138"/>
        <w:jc w:val="both"/>
      </w:pPr>
      <w:r>
        <w:rPr/>
        <w:t>I applied linear models (linear regression, Ridge regression, and Lasso regression), support vector machines (SVM), random forest, and gradient boost models to the dataset, using root mean squared error (RMSE) as the tuning and evaluation metric. The results all had the same problems. The predicted values had much narrow range than the actual values (Figure 8), and as a result, the prediction errors were larger as the actual values deviated further from zero (Figure 9). These results were not acceptable, because players with large improvement/decline were arguably more important for NBA teams to predict than players with little change in performance. Having larger errors on those predictions was obviously not desirable.</w:t>
      </w:r>
    </w:p>
    <w:p>
      <w:pPr>
        <w:pStyle w:val="BodyText"/>
        <w:spacing w:before="10"/>
        <w:rPr>
          <w:sz w:val="27"/>
        </w:rPr>
      </w:pPr>
    </w:p>
    <w:p>
      <w:pPr>
        <w:pStyle w:val="Heading2"/>
        <w:numPr>
          <w:ilvl w:val="2"/>
          <w:numId w:val="1"/>
        </w:numPr>
        <w:tabs>
          <w:tab w:pos="640" w:val="left" w:leader="none"/>
        </w:tabs>
        <w:spacing w:line="240" w:lineRule="auto" w:before="0" w:after="0"/>
        <w:ind w:left="640" w:right="0" w:hanging="540"/>
        <w:jc w:val="left"/>
      </w:pPr>
      <w:r>
        <w:rPr/>
        <w:t>Solution to the problems</w:t>
      </w:r>
    </w:p>
    <w:p>
      <w:pPr>
        <w:pStyle w:val="BodyText"/>
        <w:spacing w:line="288" w:lineRule="auto" w:before="54"/>
        <w:ind w:left="100" w:right="138"/>
        <w:jc w:val="both"/>
      </w:pPr>
      <w:r>
        <w:rPr/>
        <w:t>The reason behind these problems were the uneven distribution of player improvement, in that players with little improvement/decline were more common than players with big improvement/decline (Figure 8). Therefore, the models tried to prioritize minimizing errors on players with little improvement/decline when RMSE was used as the evaluation metric. My solution to this problem was to assign weights to samples based on the inverse of the abundances of target values. In other words, players with large improvement/decline would have higher weights in model training and evaluation because they were more rare. Using this method, all models predicted target values with similar range and distribution as the actual target values (Figure 10).</w:t>
      </w:r>
    </w:p>
    <w:p>
      <w:pPr>
        <w:spacing w:after="0" w:line="288" w:lineRule="auto"/>
        <w:jc w:val="both"/>
        <w:sectPr>
          <w:pgSz w:w="12240" w:h="15840"/>
          <w:pgMar w:top="1380" w:bottom="280" w:left="1340" w:right="1300"/>
        </w:sectPr>
      </w:pPr>
    </w:p>
    <w:p>
      <w:pPr>
        <w:pStyle w:val="BodyText"/>
        <w:ind w:left="1210"/>
        <w:rPr>
          <w:sz w:val="20"/>
        </w:rPr>
      </w:pPr>
      <w:r>
        <w:rPr>
          <w:sz w:val="20"/>
        </w:rPr>
        <w:drawing>
          <wp:inline distT="0" distB="0" distL="0" distR="0">
            <wp:extent cx="4524375" cy="2743200"/>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5" cstate="print"/>
                    <a:stretch>
                      <a:fillRect/>
                    </a:stretch>
                  </pic:blipFill>
                  <pic:spPr>
                    <a:xfrm>
                      <a:off x="0" y="0"/>
                      <a:ext cx="4524375" cy="2743200"/>
                    </a:xfrm>
                    <a:prstGeom prst="rect">
                      <a:avLst/>
                    </a:prstGeom>
                  </pic:spPr>
                </pic:pic>
              </a:graphicData>
            </a:graphic>
          </wp:inline>
        </w:drawing>
      </w:r>
      <w:r>
        <w:rPr>
          <w:sz w:val="20"/>
        </w:rPr>
      </w:r>
    </w:p>
    <w:p>
      <w:pPr>
        <w:spacing w:line="285" w:lineRule="auto" w:before="119"/>
        <w:ind w:left="153" w:right="200" w:firstLine="0"/>
        <w:jc w:val="center"/>
        <w:rPr>
          <w:sz w:val="22"/>
        </w:rPr>
      </w:pPr>
      <w:r>
        <w:rPr>
          <w:sz w:val="22"/>
        </w:rPr>
        <w:t>Figure 8. Distribution of actual and predicted improvement using linear regression with equal weights of samples.</w:t>
      </w:r>
    </w:p>
    <w:p>
      <w:pPr>
        <w:pStyle w:val="BodyText"/>
        <w:spacing w:before="8"/>
      </w:pPr>
      <w:r>
        <w:rPr/>
        <w:drawing>
          <wp:anchor distT="0" distB="0" distL="0" distR="0" allowOverlap="1" layoutInCell="1" locked="0" behindDoc="1" simplePos="0" relativeHeight="268434551">
            <wp:simplePos x="0" y="0"/>
            <wp:positionH relativeFrom="page">
              <wp:posOffset>1809750</wp:posOffset>
            </wp:positionH>
            <wp:positionV relativeFrom="paragraph">
              <wp:posOffset>205683</wp:posOffset>
            </wp:positionV>
            <wp:extent cx="4143375" cy="2495550"/>
            <wp:effectExtent l="0" t="0" r="0" b="0"/>
            <wp:wrapTopAndBottom/>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6" cstate="print"/>
                    <a:stretch>
                      <a:fillRect/>
                    </a:stretch>
                  </pic:blipFill>
                  <pic:spPr>
                    <a:xfrm>
                      <a:off x="0" y="0"/>
                      <a:ext cx="4143375" cy="2495550"/>
                    </a:xfrm>
                    <a:prstGeom prst="rect">
                      <a:avLst/>
                    </a:prstGeom>
                  </pic:spPr>
                </pic:pic>
              </a:graphicData>
            </a:graphic>
          </wp:anchor>
        </w:drawing>
      </w:r>
    </w:p>
    <w:p>
      <w:pPr>
        <w:spacing w:line="285" w:lineRule="auto" w:before="65"/>
        <w:ind w:left="153" w:right="198" w:firstLine="0"/>
        <w:jc w:val="center"/>
        <w:rPr>
          <w:sz w:val="22"/>
        </w:rPr>
      </w:pPr>
      <w:r>
        <w:rPr>
          <w:sz w:val="22"/>
        </w:rPr>
        <w:t>Figure 9. Scatterplot of prediction errors vs. actual target values using linear regression with equal weights of samples.</w:t>
      </w:r>
    </w:p>
    <w:p>
      <w:pPr>
        <w:spacing w:after="0" w:line="285" w:lineRule="auto"/>
        <w:jc w:val="center"/>
        <w:rPr>
          <w:sz w:val="22"/>
        </w:rPr>
        <w:sectPr>
          <w:pgSz w:w="12240" w:h="15840"/>
          <w:pgMar w:top="1460" w:bottom="280" w:left="1340" w:right="1300"/>
        </w:sectPr>
      </w:pPr>
    </w:p>
    <w:p>
      <w:pPr>
        <w:pStyle w:val="BodyText"/>
        <w:ind w:left="1210"/>
        <w:rPr>
          <w:sz w:val="20"/>
        </w:rPr>
      </w:pPr>
      <w:r>
        <w:rPr>
          <w:sz w:val="20"/>
        </w:rPr>
        <w:drawing>
          <wp:inline distT="0" distB="0" distL="0" distR="0">
            <wp:extent cx="4524375" cy="2743200"/>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17" cstate="print"/>
                    <a:stretch>
                      <a:fillRect/>
                    </a:stretch>
                  </pic:blipFill>
                  <pic:spPr>
                    <a:xfrm>
                      <a:off x="0" y="0"/>
                      <a:ext cx="4524375" cy="2743200"/>
                    </a:xfrm>
                    <a:prstGeom prst="rect">
                      <a:avLst/>
                    </a:prstGeom>
                  </pic:spPr>
                </pic:pic>
              </a:graphicData>
            </a:graphic>
          </wp:inline>
        </w:drawing>
      </w:r>
      <w:r>
        <w:rPr>
          <w:sz w:val="20"/>
        </w:rPr>
      </w:r>
    </w:p>
    <w:p>
      <w:pPr>
        <w:spacing w:line="285" w:lineRule="auto" w:before="104"/>
        <w:ind w:left="2560" w:right="0" w:hanging="2460"/>
        <w:jc w:val="left"/>
        <w:rPr>
          <w:sz w:val="22"/>
        </w:rPr>
      </w:pPr>
      <w:r>
        <w:rPr>
          <w:sz w:val="22"/>
        </w:rPr>
        <w:t>Figure 10. Distribution of actual and predicted improvement using linear regression with different weights of samples based on inverse of sample abundance.</w:t>
      </w:r>
    </w:p>
    <w:p>
      <w:pPr>
        <w:pStyle w:val="BodyText"/>
        <w:spacing w:before="7"/>
        <w:rPr>
          <w:sz w:val="25"/>
        </w:rPr>
      </w:pPr>
    </w:p>
    <w:p>
      <w:pPr>
        <w:pStyle w:val="Heading2"/>
        <w:numPr>
          <w:ilvl w:val="2"/>
          <w:numId w:val="1"/>
        </w:numPr>
        <w:tabs>
          <w:tab w:pos="640" w:val="left" w:leader="none"/>
        </w:tabs>
        <w:spacing w:line="240" w:lineRule="auto" w:before="0" w:after="0"/>
        <w:ind w:left="640" w:right="0" w:hanging="540"/>
        <w:jc w:val="left"/>
      </w:pPr>
      <w:r>
        <w:rPr/>
        <w:t>Performances of different models</w:t>
      </w:r>
    </w:p>
    <w:p>
      <w:pPr>
        <w:pStyle w:val="BodyText"/>
        <w:spacing w:line="288" w:lineRule="auto" w:before="54"/>
        <w:ind w:left="100" w:right="138"/>
        <w:jc w:val="both"/>
      </w:pPr>
      <w:r>
        <w:rPr/>
        <w:t>Using the new approach of different sample weights, I built linear regression, SVM, random forest, and gradient boost models using weighted root mean squared error as the evaluation metric. For each model, hyperparameters were tuned using the same metric and cross validation. For comparison, I also built a simple linear regression model with just one independent variable (age) as the benchmark model. SVM had the best performance among all models, which had</w:t>
      </w:r>
    </w:p>
    <w:p>
      <w:pPr>
        <w:pStyle w:val="BodyText"/>
        <w:spacing w:line="288" w:lineRule="auto"/>
        <w:ind w:left="100" w:right="141"/>
        <w:jc w:val="both"/>
      </w:pPr>
      <w:r>
        <w:rPr/>
        <w:t>~26% less error than the benchmark model (Table 2). The predicted improvements had linear relationship with the actual improvements (Figure 11).</w:t>
      </w:r>
    </w:p>
    <w:p>
      <w:pPr>
        <w:pStyle w:val="BodyText"/>
        <w:spacing w:before="3"/>
        <w:rPr>
          <w:sz w:val="28"/>
        </w:rPr>
      </w:pPr>
    </w:p>
    <w:p>
      <w:pPr>
        <w:spacing w:before="1" w:after="42"/>
        <w:ind w:left="153" w:right="197" w:firstLine="0"/>
        <w:jc w:val="center"/>
        <w:rPr>
          <w:sz w:val="22"/>
        </w:rPr>
      </w:pPr>
      <w:r>
        <w:rPr>
          <w:sz w:val="22"/>
        </w:rPr>
        <w:t>Table 2. Performance of the regression models.</w:t>
      </w:r>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60"/>
        <w:gridCol w:w="1560"/>
        <w:gridCol w:w="1560"/>
        <w:gridCol w:w="1560"/>
        <w:gridCol w:w="1560"/>
        <w:gridCol w:w="1560"/>
      </w:tblGrid>
      <w:tr>
        <w:trPr>
          <w:trHeight w:val="745" w:hRule="atLeast"/>
        </w:trPr>
        <w:tc>
          <w:tcPr>
            <w:tcW w:w="1560" w:type="dxa"/>
          </w:tcPr>
          <w:p>
            <w:pPr>
              <w:pStyle w:val="TableParagraph"/>
              <w:rPr>
                <w:sz w:val="22"/>
              </w:rPr>
            </w:pPr>
          </w:p>
        </w:tc>
        <w:tc>
          <w:tcPr>
            <w:tcW w:w="1560" w:type="dxa"/>
          </w:tcPr>
          <w:p>
            <w:pPr>
              <w:pStyle w:val="TableParagraph"/>
              <w:spacing w:line="256" w:lineRule="auto" w:before="107"/>
              <w:ind w:left="199" w:right="191" w:firstLine="60"/>
              <w:rPr>
                <w:sz w:val="22"/>
              </w:rPr>
            </w:pPr>
            <w:r>
              <w:rPr>
                <w:sz w:val="22"/>
              </w:rPr>
              <w:t>Benchmark (one feature)</w:t>
            </w:r>
          </w:p>
        </w:tc>
        <w:tc>
          <w:tcPr>
            <w:tcW w:w="1560" w:type="dxa"/>
          </w:tcPr>
          <w:p>
            <w:pPr>
              <w:pStyle w:val="TableParagraph"/>
              <w:spacing w:line="256" w:lineRule="auto" w:before="107"/>
              <w:ind w:left="274" w:right="268" w:firstLine="195"/>
              <w:rPr>
                <w:sz w:val="22"/>
              </w:rPr>
            </w:pPr>
            <w:r>
              <w:rPr>
                <w:sz w:val="22"/>
              </w:rPr>
              <w:t>Linear Regression</w:t>
            </w:r>
          </w:p>
        </w:tc>
        <w:tc>
          <w:tcPr>
            <w:tcW w:w="1560" w:type="dxa"/>
          </w:tcPr>
          <w:p>
            <w:pPr>
              <w:pStyle w:val="TableParagraph"/>
              <w:rPr>
                <w:sz w:val="21"/>
              </w:rPr>
            </w:pPr>
          </w:p>
          <w:p>
            <w:pPr>
              <w:pStyle w:val="TableParagraph"/>
              <w:ind w:left="529"/>
              <w:rPr>
                <w:sz w:val="22"/>
              </w:rPr>
            </w:pPr>
            <w:r>
              <w:rPr>
                <w:sz w:val="22"/>
              </w:rPr>
              <w:t>SVM</w:t>
            </w:r>
          </w:p>
        </w:tc>
        <w:tc>
          <w:tcPr>
            <w:tcW w:w="1560" w:type="dxa"/>
          </w:tcPr>
          <w:p>
            <w:pPr>
              <w:pStyle w:val="TableParagraph"/>
              <w:rPr>
                <w:sz w:val="21"/>
              </w:rPr>
            </w:pPr>
          </w:p>
          <w:p>
            <w:pPr>
              <w:pStyle w:val="TableParagraph"/>
              <w:ind w:left="74" w:right="74"/>
              <w:jc w:val="center"/>
              <w:rPr>
                <w:sz w:val="22"/>
              </w:rPr>
            </w:pPr>
            <w:r>
              <w:rPr>
                <w:sz w:val="22"/>
              </w:rPr>
              <w:t>Random Forest</w:t>
            </w:r>
          </w:p>
        </w:tc>
        <w:tc>
          <w:tcPr>
            <w:tcW w:w="1560" w:type="dxa"/>
          </w:tcPr>
          <w:p>
            <w:pPr>
              <w:pStyle w:val="TableParagraph"/>
              <w:rPr>
                <w:sz w:val="21"/>
              </w:rPr>
            </w:pPr>
          </w:p>
          <w:p>
            <w:pPr>
              <w:pStyle w:val="TableParagraph"/>
              <w:ind w:left="64" w:right="74"/>
              <w:jc w:val="center"/>
              <w:rPr>
                <w:sz w:val="22"/>
              </w:rPr>
            </w:pPr>
            <w:r>
              <w:rPr>
                <w:sz w:val="22"/>
              </w:rPr>
              <w:t>Gradient Boost</w:t>
            </w:r>
          </w:p>
        </w:tc>
      </w:tr>
      <w:tr>
        <w:trPr>
          <w:trHeight w:val="745" w:hRule="atLeast"/>
        </w:trPr>
        <w:tc>
          <w:tcPr>
            <w:tcW w:w="1560" w:type="dxa"/>
          </w:tcPr>
          <w:p>
            <w:pPr>
              <w:pStyle w:val="TableParagraph"/>
              <w:spacing w:line="256" w:lineRule="auto" w:before="107"/>
              <w:ind w:left="469" w:right="330" w:hanging="135"/>
              <w:rPr>
                <w:sz w:val="22"/>
              </w:rPr>
            </w:pPr>
            <w:r>
              <w:rPr>
                <w:sz w:val="22"/>
              </w:rPr>
              <w:t>Weighted RMSE</w:t>
            </w:r>
          </w:p>
        </w:tc>
        <w:tc>
          <w:tcPr>
            <w:tcW w:w="1560" w:type="dxa"/>
          </w:tcPr>
          <w:p>
            <w:pPr>
              <w:pStyle w:val="TableParagraph"/>
              <w:rPr>
                <w:sz w:val="21"/>
              </w:rPr>
            </w:pPr>
          </w:p>
          <w:p>
            <w:pPr>
              <w:pStyle w:val="TableParagraph"/>
              <w:ind w:left="71" w:right="74"/>
              <w:jc w:val="center"/>
              <w:rPr>
                <w:sz w:val="22"/>
              </w:rPr>
            </w:pPr>
            <w:r>
              <w:rPr>
                <w:sz w:val="22"/>
              </w:rPr>
              <w:t>3.84</w:t>
            </w:r>
          </w:p>
        </w:tc>
        <w:tc>
          <w:tcPr>
            <w:tcW w:w="1560" w:type="dxa"/>
          </w:tcPr>
          <w:p>
            <w:pPr>
              <w:pStyle w:val="TableParagraph"/>
              <w:rPr>
                <w:sz w:val="21"/>
              </w:rPr>
            </w:pPr>
          </w:p>
          <w:p>
            <w:pPr>
              <w:pStyle w:val="TableParagraph"/>
              <w:ind w:left="71" w:right="74"/>
              <w:jc w:val="center"/>
              <w:rPr>
                <w:sz w:val="22"/>
              </w:rPr>
            </w:pPr>
            <w:r>
              <w:rPr>
                <w:sz w:val="22"/>
              </w:rPr>
              <w:t>2.98</w:t>
            </w:r>
          </w:p>
        </w:tc>
        <w:tc>
          <w:tcPr>
            <w:tcW w:w="1560" w:type="dxa"/>
          </w:tcPr>
          <w:p>
            <w:pPr>
              <w:pStyle w:val="TableParagraph"/>
              <w:rPr>
                <w:sz w:val="21"/>
              </w:rPr>
            </w:pPr>
          </w:p>
          <w:p>
            <w:pPr>
              <w:pStyle w:val="TableParagraph"/>
              <w:ind w:left="574"/>
              <w:rPr>
                <w:sz w:val="22"/>
              </w:rPr>
            </w:pPr>
            <w:r>
              <w:rPr>
                <w:sz w:val="22"/>
              </w:rPr>
              <w:t>2.86</w:t>
            </w:r>
          </w:p>
        </w:tc>
        <w:tc>
          <w:tcPr>
            <w:tcW w:w="1560" w:type="dxa"/>
          </w:tcPr>
          <w:p>
            <w:pPr>
              <w:pStyle w:val="TableParagraph"/>
              <w:rPr>
                <w:sz w:val="21"/>
              </w:rPr>
            </w:pPr>
          </w:p>
          <w:p>
            <w:pPr>
              <w:pStyle w:val="TableParagraph"/>
              <w:ind w:left="71" w:right="74"/>
              <w:jc w:val="center"/>
              <w:rPr>
                <w:sz w:val="22"/>
              </w:rPr>
            </w:pPr>
            <w:r>
              <w:rPr>
                <w:sz w:val="22"/>
              </w:rPr>
              <w:t>2.93</w:t>
            </w:r>
          </w:p>
        </w:tc>
        <w:tc>
          <w:tcPr>
            <w:tcW w:w="1560" w:type="dxa"/>
          </w:tcPr>
          <w:p>
            <w:pPr>
              <w:pStyle w:val="TableParagraph"/>
              <w:rPr>
                <w:sz w:val="21"/>
              </w:rPr>
            </w:pPr>
          </w:p>
          <w:p>
            <w:pPr>
              <w:pStyle w:val="TableParagraph"/>
              <w:ind w:left="71" w:right="74"/>
              <w:jc w:val="center"/>
              <w:rPr>
                <w:sz w:val="22"/>
              </w:rPr>
            </w:pPr>
            <w:r>
              <w:rPr>
                <w:sz w:val="22"/>
              </w:rPr>
              <w:t>2.96</w:t>
            </w:r>
          </w:p>
        </w:tc>
      </w:tr>
    </w:tbl>
    <w:p>
      <w:pPr>
        <w:pStyle w:val="BodyText"/>
        <w:spacing w:before="8"/>
        <w:rPr>
          <w:sz w:val="28"/>
        </w:rPr>
      </w:pPr>
    </w:p>
    <w:p>
      <w:pPr>
        <w:pStyle w:val="Heading2"/>
        <w:spacing w:before="1"/>
        <w:ind w:left="100" w:firstLine="0"/>
      </w:pPr>
      <w:r>
        <w:rPr/>
        <w:t>4.2 Classification models</w:t>
      </w:r>
    </w:p>
    <w:p>
      <w:pPr>
        <w:pStyle w:val="BodyText"/>
        <w:spacing w:line="288" w:lineRule="auto" w:before="54"/>
        <w:ind w:left="100" w:right="141"/>
        <w:jc w:val="both"/>
      </w:pPr>
      <w:r>
        <w:rPr/>
        <w:t>The application of classification models was much more straightforward. I divided the samples into two classes (improvement&gt;=0 or &lt;0). The number of samples in each class were about the same. I chose logarithmic loss as the metric here because the results would probably be presented with probabilities and logarithmic loss puts more emphasis on the probabilities than other metrics. Logistic regression, SVM, random forest, gradient boost models and a voting model were tuned and built. Among the individual models, the SVM model performed the best (~67.5%</w:t>
      </w:r>
    </w:p>
    <w:p>
      <w:pPr>
        <w:spacing w:after="0" w:line="288" w:lineRule="auto"/>
        <w:jc w:val="both"/>
        <w:sectPr>
          <w:pgSz w:w="12240" w:h="15840"/>
          <w:pgMar w:top="1460" w:bottom="280" w:left="1340" w:right="1300"/>
        </w:sectPr>
      </w:pPr>
    </w:p>
    <w:p>
      <w:pPr>
        <w:pStyle w:val="BodyText"/>
        <w:spacing w:line="288" w:lineRule="auto" w:before="61"/>
        <w:ind w:left="100"/>
      </w:pPr>
      <w:r>
        <w:rPr/>
        <w:drawing>
          <wp:anchor distT="0" distB="0" distL="0" distR="0" allowOverlap="1" layoutInCell="1" locked="0" behindDoc="1" simplePos="0" relativeHeight="268434575">
            <wp:simplePos x="0" y="0"/>
            <wp:positionH relativeFrom="page">
              <wp:posOffset>1800225</wp:posOffset>
            </wp:positionH>
            <wp:positionV relativeFrom="paragraph">
              <wp:posOffset>476289</wp:posOffset>
            </wp:positionV>
            <wp:extent cx="4162425" cy="3552825"/>
            <wp:effectExtent l="0" t="0" r="0" b="0"/>
            <wp:wrapTopAndBottom/>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18" cstate="print"/>
                    <a:stretch>
                      <a:fillRect/>
                    </a:stretch>
                  </pic:blipFill>
                  <pic:spPr>
                    <a:xfrm>
                      <a:off x="0" y="0"/>
                      <a:ext cx="4162425" cy="3552825"/>
                    </a:xfrm>
                    <a:prstGeom prst="rect">
                      <a:avLst/>
                    </a:prstGeom>
                  </pic:spPr>
                </pic:pic>
              </a:graphicData>
            </a:graphic>
          </wp:anchor>
        </w:drawing>
      </w:r>
      <w:r>
        <w:rPr/>
        <w:t>accuracy), and voting model performed similarly as the SVM model (Table 3), though the differences between models were small.</w:t>
      </w:r>
    </w:p>
    <w:p>
      <w:pPr>
        <w:spacing w:before="65"/>
        <w:ind w:left="925" w:right="0" w:firstLine="0"/>
        <w:jc w:val="left"/>
        <w:rPr>
          <w:sz w:val="22"/>
        </w:rPr>
      </w:pPr>
      <w:r>
        <w:rPr>
          <w:sz w:val="22"/>
        </w:rPr>
        <w:t>Figure 11. Scatter plot of predicted and actual player improvements of the SVM model.</w:t>
      </w:r>
    </w:p>
    <w:p>
      <w:pPr>
        <w:pStyle w:val="BodyText"/>
      </w:pPr>
    </w:p>
    <w:p>
      <w:pPr>
        <w:pStyle w:val="BodyText"/>
      </w:pPr>
    </w:p>
    <w:p>
      <w:pPr>
        <w:pStyle w:val="BodyText"/>
        <w:spacing w:before="4"/>
        <w:rPr>
          <w:sz w:val="34"/>
        </w:rPr>
      </w:pPr>
    </w:p>
    <w:p>
      <w:pPr>
        <w:spacing w:before="0" w:after="43"/>
        <w:ind w:left="100" w:right="0" w:firstLine="0"/>
        <w:jc w:val="left"/>
        <w:rPr>
          <w:sz w:val="22"/>
        </w:rPr>
      </w:pPr>
      <w:r>
        <w:rPr>
          <w:sz w:val="22"/>
        </w:rPr>
        <w:t>Table 3. Performance of classification models. Best performance labeled in red.</w:t>
      </w:r>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60"/>
        <w:gridCol w:w="1560"/>
        <w:gridCol w:w="1560"/>
        <w:gridCol w:w="1560"/>
        <w:gridCol w:w="1560"/>
        <w:gridCol w:w="1560"/>
      </w:tblGrid>
      <w:tr>
        <w:trPr>
          <w:trHeight w:val="745" w:hRule="atLeast"/>
        </w:trPr>
        <w:tc>
          <w:tcPr>
            <w:tcW w:w="1560" w:type="dxa"/>
          </w:tcPr>
          <w:p>
            <w:pPr>
              <w:pStyle w:val="TableParagraph"/>
              <w:rPr>
                <w:sz w:val="22"/>
              </w:rPr>
            </w:pPr>
          </w:p>
        </w:tc>
        <w:tc>
          <w:tcPr>
            <w:tcW w:w="1560" w:type="dxa"/>
          </w:tcPr>
          <w:p>
            <w:pPr>
              <w:pStyle w:val="TableParagraph"/>
              <w:spacing w:line="256" w:lineRule="auto" w:before="107"/>
              <w:ind w:left="274" w:right="268" w:firstLine="120"/>
              <w:rPr>
                <w:sz w:val="22"/>
              </w:rPr>
            </w:pPr>
            <w:r>
              <w:rPr>
                <w:sz w:val="22"/>
              </w:rPr>
              <w:t>Logistic Regression</w:t>
            </w:r>
          </w:p>
        </w:tc>
        <w:tc>
          <w:tcPr>
            <w:tcW w:w="1560" w:type="dxa"/>
          </w:tcPr>
          <w:p>
            <w:pPr>
              <w:pStyle w:val="TableParagraph"/>
              <w:rPr>
                <w:sz w:val="21"/>
              </w:rPr>
            </w:pPr>
          </w:p>
          <w:p>
            <w:pPr>
              <w:pStyle w:val="TableParagraph"/>
              <w:ind w:left="73" w:right="74"/>
              <w:jc w:val="center"/>
              <w:rPr>
                <w:sz w:val="22"/>
              </w:rPr>
            </w:pPr>
            <w:r>
              <w:rPr>
                <w:sz w:val="22"/>
              </w:rPr>
              <w:t>SVM</w:t>
            </w:r>
          </w:p>
        </w:tc>
        <w:tc>
          <w:tcPr>
            <w:tcW w:w="1560" w:type="dxa"/>
          </w:tcPr>
          <w:p>
            <w:pPr>
              <w:pStyle w:val="TableParagraph"/>
              <w:rPr>
                <w:sz w:val="21"/>
              </w:rPr>
            </w:pPr>
          </w:p>
          <w:p>
            <w:pPr>
              <w:pStyle w:val="TableParagraph"/>
              <w:ind w:left="74" w:right="74"/>
              <w:jc w:val="center"/>
              <w:rPr>
                <w:sz w:val="22"/>
              </w:rPr>
            </w:pPr>
            <w:r>
              <w:rPr>
                <w:sz w:val="22"/>
              </w:rPr>
              <w:t>Random Forest</w:t>
            </w:r>
          </w:p>
        </w:tc>
        <w:tc>
          <w:tcPr>
            <w:tcW w:w="1560" w:type="dxa"/>
          </w:tcPr>
          <w:p>
            <w:pPr>
              <w:pStyle w:val="TableParagraph"/>
              <w:rPr>
                <w:sz w:val="21"/>
              </w:rPr>
            </w:pPr>
          </w:p>
          <w:p>
            <w:pPr>
              <w:pStyle w:val="TableParagraph"/>
              <w:ind w:left="64" w:right="74"/>
              <w:jc w:val="center"/>
              <w:rPr>
                <w:sz w:val="22"/>
              </w:rPr>
            </w:pPr>
            <w:r>
              <w:rPr>
                <w:sz w:val="22"/>
              </w:rPr>
              <w:t>Gradient Boost</w:t>
            </w:r>
          </w:p>
        </w:tc>
        <w:tc>
          <w:tcPr>
            <w:tcW w:w="1560" w:type="dxa"/>
          </w:tcPr>
          <w:p>
            <w:pPr>
              <w:pStyle w:val="TableParagraph"/>
              <w:rPr>
                <w:sz w:val="21"/>
              </w:rPr>
            </w:pPr>
          </w:p>
          <w:p>
            <w:pPr>
              <w:pStyle w:val="TableParagraph"/>
              <w:ind w:left="56" w:right="74"/>
              <w:jc w:val="center"/>
              <w:rPr>
                <w:sz w:val="22"/>
              </w:rPr>
            </w:pPr>
            <w:r>
              <w:rPr>
                <w:sz w:val="22"/>
              </w:rPr>
              <w:t>Voting Model</w:t>
            </w:r>
          </w:p>
        </w:tc>
      </w:tr>
      <w:tr>
        <w:trPr>
          <w:trHeight w:val="475" w:hRule="atLeast"/>
        </w:trPr>
        <w:tc>
          <w:tcPr>
            <w:tcW w:w="1560" w:type="dxa"/>
          </w:tcPr>
          <w:p>
            <w:pPr>
              <w:pStyle w:val="TableParagraph"/>
              <w:spacing w:before="107"/>
              <w:ind w:left="349"/>
              <w:rPr>
                <w:sz w:val="22"/>
              </w:rPr>
            </w:pPr>
            <w:r>
              <w:rPr>
                <w:sz w:val="22"/>
              </w:rPr>
              <w:t>Log Loss</w:t>
            </w:r>
          </w:p>
        </w:tc>
        <w:tc>
          <w:tcPr>
            <w:tcW w:w="1560" w:type="dxa"/>
          </w:tcPr>
          <w:p>
            <w:pPr>
              <w:pStyle w:val="TableParagraph"/>
              <w:spacing w:before="107"/>
              <w:ind w:left="61" w:right="74"/>
              <w:jc w:val="center"/>
              <w:rPr>
                <w:sz w:val="22"/>
              </w:rPr>
            </w:pPr>
            <w:r>
              <w:rPr>
                <w:sz w:val="22"/>
              </w:rPr>
              <w:t>0.605</w:t>
            </w:r>
          </w:p>
        </w:tc>
        <w:tc>
          <w:tcPr>
            <w:tcW w:w="1560" w:type="dxa"/>
          </w:tcPr>
          <w:p>
            <w:pPr>
              <w:pStyle w:val="TableParagraph"/>
              <w:spacing w:before="107"/>
              <w:ind w:left="61" w:right="74"/>
              <w:jc w:val="center"/>
              <w:rPr>
                <w:sz w:val="22"/>
              </w:rPr>
            </w:pPr>
            <w:r>
              <w:rPr>
                <w:color w:val="FF0000"/>
                <w:sz w:val="22"/>
              </w:rPr>
              <w:t>0.603</w:t>
            </w:r>
          </w:p>
        </w:tc>
        <w:tc>
          <w:tcPr>
            <w:tcW w:w="1560" w:type="dxa"/>
          </w:tcPr>
          <w:p>
            <w:pPr>
              <w:pStyle w:val="TableParagraph"/>
              <w:spacing w:before="107"/>
              <w:ind w:left="61" w:right="74"/>
              <w:jc w:val="center"/>
              <w:rPr>
                <w:sz w:val="22"/>
              </w:rPr>
            </w:pPr>
            <w:r>
              <w:rPr>
                <w:sz w:val="22"/>
              </w:rPr>
              <w:t>0.612</w:t>
            </w:r>
          </w:p>
        </w:tc>
        <w:tc>
          <w:tcPr>
            <w:tcW w:w="1560" w:type="dxa"/>
          </w:tcPr>
          <w:p>
            <w:pPr>
              <w:pStyle w:val="TableParagraph"/>
              <w:spacing w:before="107"/>
              <w:ind w:left="61" w:right="74"/>
              <w:jc w:val="center"/>
              <w:rPr>
                <w:sz w:val="22"/>
              </w:rPr>
            </w:pPr>
            <w:r>
              <w:rPr>
                <w:sz w:val="22"/>
              </w:rPr>
              <w:t>0.613</w:t>
            </w:r>
          </w:p>
        </w:tc>
        <w:tc>
          <w:tcPr>
            <w:tcW w:w="1560" w:type="dxa"/>
          </w:tcPr>
          <w:p>
            <w:pPr>
              <w:pStyle w:val="TableParagraph"/>
              <w:spacing w:before="107"/>
              <w:ind w:left="61" w:right="74"/>
              <w:jc w:val="center"/>
              <w:rPr>
                <w:sz w:val="22"/>
              </w:rPr>
            </w:pPr>
            <w:r>
              <w:rPr>
                <w:color w:val="FF0000"/>
                <w:sz w:val="22"/>
              </w:rPr>
              <w:t>0.603</w:t>
            </w:r>
          </w:p>
        </w:tc>
      </w:tr>
      <w:tr>
        <w:trPr>
          <w:trHeight w:val="475" w:hRule="atLeast"/>
        </w:trPr>
        <w:tc>
          <w:tcPr>
            <w:tcW w:w="1560" w:type="dxa"/>
          </w:tcPr>
          <w:p>
            <w:pPr>
              <w:pStyle w:val="TableParagraph"/>
              <w:spacing w:before="107"/>
              <w:ind w:left="334"/>
              <w:rPr>
                <w:sz w:val="22"/>
              </w:rPr>
            </w:pPr>
            <w:r>
              <w:rPr>
                <w:sz w:val="22"/>
              </w:rPr>
              <w:t>Accuracy</w:t>
            </w:r>
          </w:p>
        </w:tc>
        <w:tc>
          <w:tcPr>
            <w:tcW w:w="1560" w:type="dxa"/>
          </w:tcPr>
          <w:p>
            <w:pPr>
              <w:pStyle w:val="TableParagraph"/>
              <w:spacing w:before="107"/>
              <w:ind w:left="61" w:right="74"/>
              <w:jc w:val="center"/>
              <w:rPr>
                <w:sz w:val="22"/>
              </w:rPr>
            </w:pPr>
            <w:r>
              <w:rPr>
                <w:color w:val="FF0000"/>
                <w:sz w:val="22"/>
              </w:rPr>
              <w:t>0.675</w:t>
            </w:r>
          </w:p>
        </w:tc>
        <w:tc>
          <w:tcPr>
            <w:tcW w:w="1560" w:type="dxa"/>
          </w:tcPr>
          <w:p>
            <w:pPr>
              <w:pStyle w:val="TableParagraph"/>
              <w:spacing w:before="107"/>
              <w:ind w:left="61" w:right="74"/>
              <w:jc w:val="center"/>
              <w:rPr>
                <w:sz w:val="22"/>
              </w:rPr>
            </w:pPr>
            <w:r>
              <w:rPr>
                <w:color w:val="FF0000"/>
                <w:sz w:val="22"/>
              </w:rPr>
              <w:t>0.675</w:t>
            </w:r>
          </w:p>
        </w:tc>
        <w:tc>
          <w:tcPr>
            <w:tcW w:w="1560" w:type="dxa"/>
          </w:tcPr>
          <w:p>
            <w:pPr>
              <w:pStyle w:val="TableParagraph"/>
              <w:spacing w:before="107"/>
              <w:ind w:left="61" w:right="74"/>
              <w:jc w:val="center"/>
              <w:rPr>
                <w:sz w:val="22"/>
              </w:rPr>
            </w:pPr>
            <w:r>
              <w:rPr>
                <w:sz w:val="22"/>
              </w:rPr>
              <w:t>0.672</w:t>
            </w:r>
          </w:p>
        </w:tc>
        <w:tc>
          <w:tcPr>
            <w:tcW w:w="1560" w:type="dxa"/>
          </w:tcPr>
          <w:p>
            <w:pPr>
              <w:pStyle w:val="TableParagraph"/>
              <w:spacing w:before="107"/>
              <w:ind w:left="61" w:right="74"/>
              <w:jc w:val="center"/>
              <w:rPr>
                <w:sz w:val="22"/>
              </w:rPr>
            </w:pPr>
            <w:r>
              <w:rPr>
                <w:sz w:val="22"/>
              </w:rPr>
              <w:t>0.672</w:t>
            </w:r>
          </w:p>
        </w:tc>
        <w:tc>
          <w:tcPr>
            <w:tcW w:w="1560" w:type="dxa"/>
          </w:tcPr>
          <w:p>
            <w:pPr>
              <w:pStyle w:val="TableParagraph"/>
              <w:spacing w:before="107"/>
              <w:ind w:left="61" w:right="74"/>
              <w:jc w:val="center"/>
              <w:rPr>
                <w:sz w:val="22"/>
              </w:rPr>
            </w:pPr>
            <w:r>
              <w:rPr>
                <w:color w:val="FF0000"/>
                <w:sz w:val="22"/>
              </w:rPr>
              <w:t>0.675</w:t>
            </w:r>
          </w:p>
        </w:tc>
      </w:tr>
      <w:tr>
        <w:trPr>
          <w:trHeight w:val="745" w:hRule="atLeast"/>
        </w:trPr>
        <w:tc>
          <w:tcPr>
            <w:tcW w:w="1560" w:type="dxa"/>
          </w:tcPr>
          <w:p>
            <w:pPr>
              <w:pStyle w:val="TableParagraph"/>
              <w:spacing w:line="256" w:lineRule="auto" w:before="107"/>
              <w:ind w:left="364" w:right="243" w:hanging="120"/>
              <w:rPr>
                <w:sz w:val="22"/>
              </w:rPr>
            </w:pPr>
            <w:r>
              <w:rPr>
                <w:sz w:val="22"/>
              </w:rPr>
              <w:t>No. of True Positives</w:t>
            </w:r>
          </w:p>
        </w:tc>
        <w:tc>
          <w:tcPr>
            <w:tcW w:w="1560" w:type="dxa"/>
          </w:tcPr>
          <w:p>
            <w:pPr>
              <w:pStyle w:val="TableParagraph"/>
              <w:rPr>
                <w:sz w:val="21"/>
              </w:rPr>
            </w:pPr>
          </w:p>
          <w:p>
            <w:pPr>
              <w:pStyle w:val="TableParagraph"/>
              <w:ind w:left="74" w:right="74"/>
              <w:jc w:val="center"/>
              <w:rPr>
                <w:sz w:val="22"/>
              </w:rPr>
            </w:pPr>
            <w:r>
              <w:rPr>
                <w:sz w:val="22"/>
              </w:rPr>
              <w:t>835</w:t>
            </w:r>
          </w:p>
        </w:tc>
        <w:tc>
          <w:tcPr>
            <w:tcW w:w="1560" w:type="dxa"/>
          </w:tcPr>
          <w:p>
            <w:pPr>
              <w:pStyle w:val="TableParagraph"/>
              <w:rPr>
                <w:sz w:val="21"/>
              </w:rPr>
            </w:pPr>
          </w:p>
          <w:p>
            <w:pPr>
              <w:pStyle w:val="TableParagraph"/>
              <w:ind w:left="74" w:right="74"/>
              <w:jc w:val="center"/>
              <w:rPr>
                <w:sz w:val="22"/>
              </w:rPr>
            </w:pPr>
            <w:r>
              <w:rPr>
                <w:sz w:val="22"/>
              </w:rPr>
              <w:t>830</w:t>
            </w:r>
          </w:p>
        </w:tc>
        <w:tc>
          <w:tcPr>
            <w:tcW w:w="1560" w:type="dxa"/>
          </w:tcPr>
          <w:p>
            <w:pPr>
              <w:pStyle w:val="TableParagraph"/>
              <w:rPr>
                <w:sz w:val="21"/>
              </w:rPr>
            </w:pPr>
          </w:p>
          <w:p>
            <w:pPr>
              <w:pStyle w:val="TableParagraph"/>
              <w:ind w:left="74" w:right="74"/>
              <w:jc w:val="center"/>
              <w:rPr>
                <w:sz w:val="22"/>
              </w:rPr>
            </w:pPr>
            <w:r>
              <w:rPr>
                <w:sz w:val="22"/>
              </w:rPr>
              <w:t>810</w:t>
            </w:r>
          </w:p>
        </w:tc>
        <w:tc>
          <w:tcPr>
            <w:tcW w:w="1560" w:type="dxa"/>
          </w:tcPr>
          <w:p>
            <w:pPr>
              <w:pStyle w:val="TableParagraph"/>
              <w:rPr>
                <w:sz w:val="21"/>
              </w:rPr>
            </w:pPr>
          </w:p>
          <w:p>
            <w:pPr>
              <w:pStyle w:val="TableParagraph"/>
              <w:ind w:left="74" w:right="74"/>
              <w:jc w:val="center"/>
              <w:rPr>
                <w:sz w:val="22"/>
              </w:rPr>
            </w:pPr>
            <w:r>
              <w:rPr>
                <w:sz w:val="22"/>
              </w:rPr>
              <w:t>815</w:t>
            </w:r>
          </w:p>
        </w:tc>
        <w:tc>
          <w:tcPr>
            <w:tcW w:w="1560" w:type="dxa"/>
          </w:tcPr>
          <w:p>
            <w:pPr>
              <w:pStyle w:val="TableParagraph"/>
              <w:rPr>
                <w:sz w:val="21"/>
              </w:rPr>
            </w:pPr>
          </w:p>
          <w:p>
            <w:pPr>
              <w:pStyle w:val="TableParagraph"/>
              <w:ind w:left="74" w:right="74"/>
              <w:jc w:val="center"/>
              <w:rPr>
                <w:sz w:val="22"/>
              </w:rPr>
            </w:pPr>
            <w:r>
              <w:rPr>
                <w:color w:val="FF0000"/>
                <w:sz w:val="22"/>
              </w:rPr>
              <w:t>838</w:t>
            </w:r>
          </w:p>
        </w:tc>
      </w:tr>
      <w:tr>
        <w:trPr>
          <w:trHeight w:val="745" w:hRule="atLeast"/>
        </w:trPr>
        <w:tc>
          <w:tcPr>
            <w:tcW w:w="1560" w:type="dxa"/>
          </w:tcPr>
          <w:p>
            <w:pPr>
              <w:pStyle w:val="TableParagraph"/>
              <w:spacing w:line="256" w:lineRule="auto" w:before="107"/>
              <w:ind w:left="364" w:right="224" w:hanging="150"/>
              <w:rPr>
                <w:sz w:val="22"/>
              </w:rPr>
            </w:pPr>
            <w:r>
              <w:rPr>
                <w:sz w:val="22"/>
              </w:rPr>
              <w:t>No. of False Positives</w:t>
            </w:r>
          </w:p>
        </w:tc>
        <w:tc>
          <w:tcPr>
            <w:tcW w:w="1560" w:type="dxa"/>
          </w:tcPr>
          <w:p>
            <w:pPr>
              <w:pStyle w:val="TableParagraph"/>
              <w:rPr>
                <w:sz w:val="21"/>
              </w:rPr>
            </w:pPr>
          </w:p>
          <w:p>
            <w:pPr>
              <w:pStyle w:val="TableParagraph"/>
              <w:ind w:left="74" w:right="74"/>
              <w:jc w:val="center"/>
              <w:rPr>
                <w:sz w:val="22"/>
              </w:rPr>
            </w:pPr>
            <w:r>
              <w:rPr>
                <w:sz w:val="22"/>
              </w:rPr>
              <w:t>413</w:t>
            </w:r>
          </w:p>
        </w:tc>
        <w:tc>
          <w:tcPr>
            <w:tcW w:w="1560" w:type="dxa"/>
          </w:tcPr>
          <w:p>
            <w:pPr>
              <w:pStyle w:val="TableParagraph"/>
              <w:rPr>
                <w:sz w:val="21"/>
              </w:rPr>
            </w:pPr>
          </w:p>
          <w:p>
            <w:pPr>
              <w:pStyle w:val="TableParagraph"/>
              <w:ind w:left="74" w:right="74"/>
              <w:jc w:val="center"/>
              <w:rPr>
                <w:sz w:val="22"/>
              </w:rPr>
            </w:pPr>
            <w:r>
              <w:rPr>
                <w:sz w:val="22"/>
              </w:rPr>
              <w:t>406</w:t>
            </w:r>
          </w:p>
        </w:tc>
        <w:tc>
          <w:tcPr>
            <w:tcW w:w="1560" w:type="dxa"/>
          </w:tcPr>
          <w:p>
            <w:pPr>
              <w:pStyle w:val="TableParagraph"/>
              <w:rPr>
                <w:sz w:val="21"/>
              </w:rPr>
            </w:pPr>
          </w:p>
          <w:p>
            <w:pPr>
              <w:pStyle w:val="TableParagraph"/>
              <w:ind w:left="74" w:right="74"/>
              <w:jc w:val="center"/>
              <w:rPr>
                <w:sz w:val="22"/>
              </w:rPr>
            </w:pPr>
            <w:r>
              <w:rPr>
                <w:color w:val="FF0000"/>
                <w:sz w:val="22"/>
              </w:rPr>
              <w:t>396</w:t>
            </w:r>
          </w:p>
        </w:tc>
        <w:tc>
          <w:tcPr>
            <w:tcW w:w="1560" w:type="dxa"/>
          </w:tcPr>
          <w:p>
            <w:pPr>
              <w:pStyle w:val="TableParagraph"/>
              <w:rPr>
                <w:sz w:val="21"/>
              </w:rPr>
            </w:pPr>
          </w:p>
          <w:p>
            <w:pPr>
              <w:pStyle w:val="TableParagraph"/>
              <w:ind w:left="74" w:right="74"/>
              <w:jc w:val="center"/>
              <w:rPr>
                <w:sz w:val="22"/>
              </w:rPr>
            </w:pPr>
            <w:r>
              <w:rPr>
                <w:sz w:val="22"/>
              </w:rPr>
              <w:t>400</w:t>
            </w:r>
          </w:p>
        </w:tc>
        <w:tc>
          <w:tcPr>
            <w:tcW w:w="1560" w:type="dxa"/>
          </w:tcPr>
          <w:p>
            <w:pPr>
              <w:pStyle w:val="TableParagraph"/>
              <w:rPr>
                <w:sz w:val="21"/>
              </w:rPr>
            </w:pPr>
          </w:p>
          <w:p>
            <w:pPr>
              <w:pStyle w:val="TableParagraph"/>
              <w:ind w:left="74" w:right="74"/>
              <w:jc w:val="center"/>
              <w:rPr>
                <w:sz w:val="22"/>
              </w:rPr>
            </w:pPr>
            <w:r>
              <w:rPr>
                <w:sz w:val="22"/>
              </w:rPr>
              <w:t>416</w:t>
            </w:r>
          </w:p>
        </w:tc>
      </w:tr>
      <w:tr>
        <w:trPr>
          <w:trHeight w:val="745" w:hRule="atLeast"/>
        </w:trPr>
        <w:tc>
          <w:tcPr>
            <w:tcW w:w="1560" w:type="dxa"/>
          </w:tcPr>
          <w:p>
            <w:pPr>
              <w:pStyle w:val="TableParagraph"/>
              <w:spacing w:line="256" w:lineRule="auto" w:before="107"/>
              <w:ind w:left="319" w:right="224" w:hanging="105"/>
              <w:rPr>
                <w:sz w:val="22"/>
              </w:rPr>
            </w:pPr>
            <w:r>
              <w:rPr>
                <w:sz w:val="22"/>
              </w:rPr>
              <w:t>No. of False Negatives</w:t>
            </w:r>
          </w:p>
        </w:tc>
        <w:tc>
          <w:tcPr>
            <w:tcW w:w="1560" w:type="dxa"/>
          </w:tcPr>
          <w:p>
            <w:pPr>
              <w:pStyle w:val="TableParagraph"/>
              <w:rPr>
                <w:sz w:val="21"/>
              </w:rPr>
            </w:pPr>
          </w:p>
          <w:p>
            <w:pPr>
              <w:pStyle w:val="TableParagraph"/>
              <w:ind w:left="74" w:right="74"/>
              <w:jc w:val="center"/>
              <w:rPr>
                <w:sz w:val="22"/>
              </w:rPr>
            </w:pPr>
            <w:r>
              <w:rPr>
                <w:sz w:val="22"/>
              </w:rPr>
              <w:t>438</w:t>
            </w:r>
          </w:p>
        </w:tc>
        <w:tc>
          <w:tcPr>
            <w:tcW w:w="1560" w:type="dxa"/>
          </w:tcPr>
          <w:p>
            <w:pPr>
              <w:pStyle w:val="TableParagraph"/>
              <w:rPr>
                <w:sz w:val="21"/>
              </w:rPr>
            </w:pPr>
          </w:p>
          <w:p>
            <w:pPr>
              <w:pStyle w:val="TableParagraph"/>
              <w:ind w:left="74" w:right="74"/>
              <w:jc w:val="center"/>
              <w:rPr>
                <w:sz w:val="22"/>
              </w:rPr>
            </w:pPr>
            <w:r>
              <w:rPr>
                <w:sz w:val="22"/>
              </w:rPr>
              <w:t>443</w:t>
            </w:r>
          </w:p>
        </w:tc>
        <w:tc>
          <w:tcPr>
            <w:tcW w:w="1560" w:type="dxa"/>
          </w:tcPr>
          <w:p>
            <w:pPr>
              <w:pStyle w:val="TableParagraph"/>
              <w:rPr>
                <w:sz w:val="21"/>
              </w:rPr>
            </w:pPr>
          </w:p>
          <w:p>
            <w:pPr>
              <w:pStyle w:val="TableParagraph"/>
              <w:ind w:left="74" w:right="74"/>
              <w:jc w:val="center"/>
              <w:rPr>
                <w:sz w:val="22"/>
              </w:rPr>
            </w:pPr>
            <w:r>
              <w:rPr>
                <w:sz w:val="22"/>
              </w:rPr>
              <w:t>463</w:t>
            </w:r>
          </w:p>
        </w:tc>
        <w:tc>
          <w:tcPr>
            <w:tcW w:w="1560" w:type="dxa"/>
          </w:tcPr>
          <w:p>
            <w:pPr>
              <w:pStyle w:val="TableParagraph"/>
              <w:rPr>
                <w:sz w:val="21"/>
              </w:rPr>
            </w:pPr>
          </w:p>
          <w:p>
            <w:pPr>
              <w:pStyle w:val="TableParagraph"/>
              <w:ind w:left="74" w:right="74"/>
              <w:jc w:val="center"/>
              <w:rPr>
                <w:sz w:val="22"/>
              </w:rPr>
            </w:pPr>
            <w:r>
              <w:rPr>
                <w:sz w:val="22"/>
              </w:rPr>
              <w:t>458</w:t>
            </w:r>
          </w:p>
        </w:tc>
        <w:tc>
          <w:tcPr>
            <w:tcW w:w="1560" w:type="dxa"/>
          </w:tcPr>
          <w:p>
            <w:pPr>
              <w:pStyle w:val="TableParagraph"/>
              <w:rPr>
                <w:sz w:val="21"/>
              </w:rPr>
            </w:pPr>
          </w:p>
          <w:p>
            <w:pPr>
              <w:pStyle w:val="TableParagraph"/>
              <w:ind w:left="74" w:right="74"/>
              <w:jc w:val="center"/>
              <w:rPr>
                <w:sz w:val="22"/>
              </w:rPr>
            </w:pPr>
            <w:r>
              <w:rPr>
                <w:color w:val="FF0000"/>
                <w:sz w:val="22"/>
              </w:rPr>
              <w:t>435</w:t>
            </w:r>
          </w:p>
        </w:tc>
      </w:tr>
      <w:tr>
        <w:trPr>
          <w:trHeight w:val="745" w:hRule="atLeast"/>
        </w:trPr>
        <w:tc>
          <w:tcPr>
            <w:tcW w:w="1560" w:type="dxa"/>
          </w:tcPr>
          <w:p>
            <w:pPr>
              <w:pStyle w:val="TableParagraph"/>
              <w:spacing w:line="256" w:lineRule="auto" w:before="107"/>
              <w:ind w:left="319" w:right="243" w:hanging="75"/>
              <w:rPr>
                <w:sz w:val="22"/>
              </w:rPr>
            </w:pPr>
            <w:r>
              <w:rPr>
                <w:sz w:val="22"/>
              </w:rPr>
              <w:t>No. of True Negatives</w:t>
            </w:r>
          </w:p>
        </w:tc>
        <w:tc>
          <w:tcPr>
            <w:tcW w:w="1560" w:type="dxa"/>
          </w:tcPr>
          <w:p>
            <w:pPr>
              <w:pStyle w:val="TableParagraph"/>
              <w:rPr>
                <w:sz w:val="21"/>
              </w:rPr>
            </w:pPr>
          </w:p>
          <w:p>
            <w:pPr>
              <w:pStyle w:val="TableParagraph"/>
              <w:ind w:left="74" w:right="74"/>
              <w:jc w:val="center"/>
              <w:rPr>
                <w:sz w:val="22"/>
              </w:rPr>
            </w:pPr>
            <w:r>
              <w:rPr>
                <w:sz w:val="22"/>
              </w:rPr>
              <w:t>929</w:t>
            </w:r>
          </w:p>
        </w:tc>
        <w:tc>
          <w:tcPr>
            <w:tcW w:w="1560" w:type="dxa"/>
          </w:tcPr>
          <w:p>
            <w:pPr>
              <w:pStyle w:val="TableParagraph"/>
              <w:rPr>
                <w:sz w:val="21"/>
              </w:rPr>
            </w:pPr>
          </w:p>
          <w:p>
            <w:pPr>
              <w:pStyle w:val="TableParagraph"/>
              <w:ind w:left="74" w:right="74"/>
              <w:jc w:val="center"/>
              <w:rPr>
                <w:sz w:val="22"/>
              </w:rPr>
            </w:pPr>
            <w:r>
              <w:rPr>
                <w:sz w:val="22"/>
              </w:rPr>
              <w:t>936</w:t>
            </w:r>
          </w:p>
        </w:tc>
        <w:tc>
          <w:tcPr>
            <w:tcW w:w="1560" w:type="dxa"/>
          </w:tcPr>
          <w:p>
            <w:pPr>
              <w:pStyle w:val="TableParagraph"/>
              <w:rPr>
                <w:sz w:val="21"/>
              </w:rPr>
            </w:pPr>
          </w:p>
          <w:p>
            <w:pPr>
              <w:pStyle w:val="TableParagraph"/>
              <w:ind w:left="74" w:right="74"/>
              <w:jc w:val="center"/>
              <w:rPr>
                <w:sz w:val="22"/>
              </w:rPr>
            </w:pPr>
            <w:r>
              <w:rPr>
                <w:color w:val="FF0000"/>
                <w:sz w:val="22"/>
              </w:rPr>
              <w:t>946</w:t>
            </w:r>
          </w:p>
        </w:tc>
        <w:tc>
          <w:tcPr>
            <w:tcW w:w="1560" w:type="dxa"/>
          </w:tcPr>
          <w:p>
            <w:pPr>
              <w:pStyle w:val="TableParagraph"/>
              <w:rPr>
                <w:sz w:val="21"/>
              </w:rPr>
            </w:pPr>
          </w:p>
          <w:p>
            <w:pPr>
              <w:pStyle w:val="TableParagraph"/>
              <w:ind w:left="74" w:right="74"/>
              <w:jc w:val="center"/>
              <w:rPr>
                <w:sz w:val="22"/>
              </w:rPr>
            </w:pPr>
            <w:r>
              <w:rPr>
                <w:sz w:val="22"/>
              </w:rPr>
              <w:t>942</w:t>
            </w:r>
          </w:p>
        </w:tc>
        <w:tc>
          <w:tcPr>
            <w:tcW w:w="1560" w:type="dxa"/>
          </w:tcPr>
          <w:p>
            <w:pPr>
              <w:pStyle w:val="TableParagraph"/>
              <w:rPr>
                <w:sz w:val="21"/>
              </w:rPr>
            </w:pPr>
          </w:p>
          <w:p>
            <w:pPr>
              <w:pStyle w:val="TableParagraph"/>
              <w:ind w:left="74" w:right="74"/>
              <w:jc w:val="center"/>
              <w:rPr>
                <w:sz w:val="22"/>
              </w:rPr>
            </w:pPr>
            <w:r>
              <w:rPr>
                <w:sz w:val="22"/>
              </w:rPr>
              <w:t>926</w:t>
            </w:r>
          </w:p>
        </w:tc>
      </w:tr>
    </w:tbl>
    <w:p>
      <w:pPr>
        <w:spacing w:after="0"/>
        <w:jc w:val="center"/>
        <w:rPr>
          <w:sz w:val="22"/>
        </w:rPr>
        <w:sectPr>
          <w:pgSz w:w="12240" w:h="15840"/>
          <w:pgMar w:top="1380" w:bottom="280" w:left="1340" w:right="1300"/>
        </w:sectPr>
      </w:pPr>
    </w:p>
    <w:p>
      <w:pPr>
        <w:pStyle w:val="BodyText"/>
        <w:spacing w:before="5"/>
        <w:rPr>
          <w:sz w:val="23"/>
        </w:rPr>
      </w:pPr>
    </w:p>
    <w:p>
      <w:pPr>
        <w:pStyle w:val="BodyText"/>
        <w:ind w:left="1510"/>
        <w:rPr>
          <w:sz w:val="20"/>
        </w:rPr>
      </w:pPr>
      <w:r>
        <w:rPr>
          <w:sz w:val="20"/>
        </w:rPr>
        <w:drawing>
          <wp:inline distT="0" distB="0" distL="0" distR="0">
            <wp:extent cx="4164035" cy="3513105"/>
            <wp:effectExtent l="0" t="0" r="0" b="0"/>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19" cstate="print"/>
                    <a:stretch>
                      <a:fillRect/>
                    </a:stretch>
                  </pic:blipFill>
                  <pic:spPr>
                    <a:xfrm>
                      <a:off x="0" y="0"/>
                      <a:ext cx="4164035" cy="3513105"/>
                    </a:xfrm>
                    <a:prstGeom prst="rect">
                      <a:avLst/>
                    </a:prstGeom>
                  </pic:spPr>
                </pic:pic>
              </a:graphicData>
            </a:graphic>
          </wp:inline>
        </w:drawing>
      </w:r>
      <w:r>
        <w:rPr>
          <w:sz w:val="20"/>
        </w:rPr>
      </w:r>
    </w:p>
    <w:p>
      <w:pPr>
        <w:spacing w:before="66"/>
        <w:ind w:left="1690" w:right="0" w:firstLine="0"/>
        <w:jc w:val="left"/>
        <w:rPr>
          <w:sz w:val="22"/>
        </w:rPr>
      </w:pPr>
      <w:r>
        <w:rPr>
          <w:sz w:val="22"/>
        </w:rPr>
        <w:t>Figure 12. A section of ROC curves of different classification models.</w:t>
      </w:r>
    </w:p>
    <w:p>
      <w:pPr>
        <w:pStyle w:val="BodyText"/>
        <w:spacing w:before="6"/>
        <w:rPr>
          <w:sz w:val="32"/>
        </w:rPr>
      </w:pPr>
    </w:p>
    <w:p>
      <w:pPr>
        <w:pStyle w:val="BodyText"/>
        <w:spacing w:line="288" w:lineRule="auto"/>
        <w:ind w:left="100" w:right="140"/>
        <w:jc w:val="both"/>
      </w:pPr>
      <w:r>
        <w:rPr/>
        <w:t>I also evaluated the models using their ROC curves. In this particular problem, lower false positive rate is more important than higher true positive rate. In other words, it is more important to be sure that a player will improve as predicted, rather than predict all players who will improve, simply because a team can only have limited number of players. In the ROC curves with low false-positive rate, the voting model had slightly higher true positive rates than other models (Figure 12).</w:t>
      </w:r>
    </w:p>
    <w:p>
      <w:pPr>
        <w:pStyle w:val="BodyText"/>
        <w:spacing w:before="1"/>
        <w:rPr>
          <w:sz w:val="26"/>
        </w:rPr>
      </w:pPr>
    </w:p>
    <w:p>
      <w:pPr>
        <w:pStyle w:val="Heading1"/>
        <w:numPr>
          <w:ilvl w:val="0"/>
          <w:numId w:val="1"/>
        </w:numPr>
        <w:tabs>
          <w:tab w:pos="380" w:val="left" w:leader="none"/>
        </w:tabs>
        <w:spacing w:line="240" w:lineRule="auto" w:before="0" w:after="0"/>
        <w:ind w:left="379" w:right="0" w:hanging="279"/>
        <w:jc w:val="left"/>
      </w:pPr>
      <w:r>
        <w:rPr/>
        <w:t>Conclusions</w:t>
      </w:r>
    </w:p>
    <w:p>
      <w:pPr>
        <w:pStyle w:val="BodyText"/>
        <w:spacing w:line="288" w:lineRule="auto" w:before="61"/>
        <w:ind w:left="100" w:right="144"/>
        <w:jc w:val="both"/>
      </w:pPr>
      <w:r>
        <w:rPr/>
        <w:t>In this study, I analyzed the relationship between NBA players’ improvement/decline and their performance and biographic data. I identified age, win share, minutes/games played, improvement last season among the most important features that affect a player’s improvement next season. I built both regression models and classification models to predict whether and how much a player would improve/decline. These models can be very useful in helping NBA team management in a number of ways. For example, it could help identify players to acquire, estimate the size of the contract to offer players, plan for performance changes of players already on the team, etc.</w:t>
      </w:r>
    </w:p>
    <w:p>
      <w:pPr>
        <w:spacing w:after="0" w:line="288" w:lineRule="auto"/>
        <w:jc w:val="both"/>
        <w:sectPr>
          <w:pgSz w:w="12240" w:h="15840"/>
          <w:pgMar w:top="1500" w:bottom="280" w:left="1340" w:right="1300"/>
        </w:sectPr>
      </w:pPr>
    </w:p>
    <w:p>
      <w:pPr>
        <w:pStyle w:val="Heading1"/>
        <w:numPr>
          <w:ilvl w:val="0"/>
          <w:numId w:val="1"/>
        </w:numPr>
        <w:tabs>
          <w:tab w:pos="380" w:val="left" w:leader="none"/>
        </w:tabs>
        <w:spacing w:line="240" w:lineRule="auto" w:before="68" w:after="0"/>
        <w:ind w:left="379" w:right="0" w:hanging="279"/>
        <w:jc w:val="left"/>
      </w:pPr>
      <w:r>
        <w:rPr/>
        <w:t>Future</w:t>
      </w:r>
      <w:r>
        <w:rPr>
          <w:spacing w:val="-2"/>
        </w:rPr>
        <w:t> </w:t>
      </w:r>
      <w:r>
        <w:rPr/>
        <w:t>directions</w:t>
      </w:r>
    </w:p>
    <w:p>
      <w:pPr>
        <w:pStyle w:val="BodyText"/>
        <w:spacing w:line="288" w:lineRule="auto" w:before="61"/>
        <w:ind w:left="100" w:right="139"/>
        <w:jc w:val="both"/>
      </w:pPr>
      <w:r>
        <w:rPr/>
        <w:t>I was able to achieve ~26% improvement from the benchmark model in the regression problem, and ~68% accuracy in the classification problem. However, there was still significant variance that could not be predicted by the models in this study. I think the models could use more improvements on capturing players’ individual traits. For example, two players might have similar performance metrics, but one might be more physical and the other might be more finesse. The future performance of these two types of players might be different. Another example is that players whose contracts are expiring might play harder/better than players who just signed hefty contracts. More data, especially data of different types, would help improve model performances significantly.</w:t>
      </w:r>
    </w:p>
    <w:p>
      <w:pPr>
        <w:pStyle w:val="BodyText"/>
        <w:spacing w:line="288" w:lineRule="auto"/>
        <w:ind w:left="100" w:right="142" w:firstLine="720"/>
        <w:jc w:val="both"/>
      </w:pPr>
      <w:r>
        <w:rPr/>
        <w:t>Models in this study mainly focused on individual features. However, interactions with teammates, coaches, might also contribute to a player’s performance. For example, if a player had a new teammate who is a superstar at the same position, his performance is likely to suffer because of competition. These interactions data are obviously more difficult to extract and quantify, but if optimized, could bring significant improvements to the models.</w:t>
      </w:r>
    </w:p>
    <w:sectPr>
      <w:pgSz w:w="12240" w:h="15840"/>
      <w:pgMar w:top="1380" w:bottom="280" w:left="134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9" w:hanging="280"/>
        <w:jc w:val="left"/>
      </w:pPr>
      <w:rPr>
        <w:rFonts w:hint="default" w:ascii="Times New Roman" w:hAnsi="Times New Roman" w:eastAsia="Times New Roman" w:cs="Times New Roman"/>
        <w:b/>
        <w:bCs/>
        <w:spacing w:val="-1"/>
        <w:w w:val="100"/>
        <w:sz w:val="28"/>
        <w:szCs w:val="28"/>
      </w:rPr>
    </w:lvl>
    <w:lvl w:ilvl="1">
      <w:start w:val="1"/>
      <w:numFmt w:val="decimal"/>
      <w:lvlText w:val="%1.%2"/>
      <w:lvlJc w:val="left"/>
      <w:pPr>
        <w:ind w:left="460" w:hanging="360"/>
        <w:jc w:val="left"/>
      </w:pPr>
      <w:rPr>
        <w:rFonts w:hint="default" w:ascii="Times New Roman" w:hAnsi="Times New Roman" w:eastAsia="Times New Roman" w:cs="Times New Roman"/>
        <w:b/>
        <w:bCs/>
        <w:w w:val="100"/>
        <w:sz w:val="24"/>
        <w:szCs w:val="24"/>
      </w:rPr>
    </w:lvl>
    <w:lvl w:ilvl="2">
      <w:start w:val="1"/>
      <w:numFmt w:val="decimal"/>
      <w:lvlText w:val="%1.%2.%3"/>
      <w:lvlJc w:val="left"/>
      <w:pPr>
        <w:ind w:left="640" w:hanging="540"/>
        <w:jc w:val="left"/>
      </w:pPr>
      <w:rPr>
        <w:rFonts w:hint="default" w:ascii="Times New Roman" w:hAnsi="Times New Roman" w:eastAsia="Times New Roman" w:cs="Times New Roman"/>
        <w:b/>
        <w:bCs/>
        <w:w w:val="100"/>
        <w:sz w:val="24"/>
        <w:szCs w:val="24"/>
      </w:rPr>
    </w:lvl>
    <w:lvl w:ilvl="3">
      <w:start w:val="0"/>
      <w:numFmt w:val="bullet"/>
      <w:lvlText w:val="•"/>
      <w:lvlJc w:val="left"/>
      <w:pPr>
        <w:ind w:left="1760" w:hanging="540"/>
      </w:pPr>
      <w:rPr>
        <w:rFonts w:hint="default"/>
      </w:rPr>
    </w:lvl>
    <w:lvl w:ilvl="4">
      <w:start w:val="0"/>
      <w:numFmt w:val="bullet"/>
      <w:lvlText w:val="•"/>
      <w:lvlJc w:val="left"/>
      <w:pPr>
        <w:ind w:left="2880" w:hanging="540"/>
      </w:pPr>
      <w:rPr>
        <w:rFonts w:hint="default"/>
      </w:rPr>
    </w:lvl>
    <w:lvl w:ilvl="5">
      <w:start w:val="0"/>
      <w:numFmt w:val="bullet"/>
      <w:lvlText w:val="•"/>
      <w:lvlJc w:val="left"/>
      <w:pPr>
        <w:ind w:left="4000" w:hanging="540"/>
      </w:pPr>
      <w:rPr>
        <w:rFonts w:hint="default"/>
      </w:rPr>
    </w:lvl>
    <w:lvl w:ilvl="6">
      <w:start w:val="0"/>
      <w:numFmt w:val="bullet"/>
      <w:lvlText w:val="•"/>
      <w:lvlJc w:val="left"/>
      <w:pPr>
        <w:ind w:left="5120" w:hanging="540"/>
      </w:pPr>
      <w:rPr>
        <w:rFonts w:hint="default"/>
      </w:rPr>
    </w:lvl>
    <w:lvl w:ilvl="7">
      <w:start w:val="0"/>
      <w:numFmt w:val="bullet"/>
      <w:lvlText w:val="•"/>
      <w:lvlJc w:val="left"/>
      <w:pPr>
        <w:ind w:left="6240" w:hanging="540"/>
      </w:pPr>
      <w:rPr>
        <w:rFonts w:hint="default"/>
      </w:rPr>
    </w:lvl>
    <w:lvl w:ilvl="8">
      <w:start w:val="0"/>
      <w:numFmt w:val="bullet"/>
      <w:lvlText w:val="•"/>
      <w:lvlJc w:val="left"/>
      <w:pPr>
        <w:ind w:left="7360" w:hanging="5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79" w:hanging="279"/>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460" w:hanging="36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460" w:hanging="36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kaggle.com/drgilermo/nba-players-stats" TargetMode="External"/><Relationship Id="rId6" Type="http://schemas.openxmlformats.org/officeDocument/2006/relationships/hyperlink" Target="https://www.kaggle.com/amiles/nbadraftvalue/" TargetMode="External"/><Relationship Id="rId7" Type="http://schemas.openxmlformats.org/officeDocument/2006/relationships/hyperlink" Target="http://www.basketball-reference.com/"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2019-10-27T18:57:15Z</dcterms:created>
  <dcterms:modified xsi:type="dcterms:W3CDTF">2019-10-27T18:57:15Z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2019-10-27T00:00:00Z</vt:filetime>
  </property>
</Properties>
</file>