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UNIVERSIDADE DE SÃO PAULO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 xml:space="preserve">FACULDADE DE FILOSOFIA, LETRAS E CIÊNCIAS </w:t>
      </w:r>
      <w:proofErr w:type="gramStart"/>
      <w:r w:rsidRPr="0083742C">
        <w:rPr>
          <w:rFonts w:ascii="Times New Roman" w:hAnsi="Times New Roman" w:cs="Times New Roman"/>
          <w:sz w:val="24"/>
          <w:szCs w:val="24"/>
        </w:rPr>
        <w:t>HUMANAS</w:t>
      </w:r>
      <w:proofErr w:type="gramEnd"/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CAMILA RUSSO DE ALMEIDA SPAGNOLI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920160" w:rsidRDefault="001718DD" w:rsidP="001718DD">
      <w:pPr>
        <w:pStyle w:val="Ttulo1"/>
        <w:jc w:val="center"/>
        <w:rPr>
          <w:rFonts w:ascii="Times New Roman" w:hAnsi="Times New Roman" w:cs="Times New Roman"/>
          <w:i/>
          <w:color w:val="000000" w:themeColor="text1"/>
        </w:rPr>
      </w:pPr>
      <w:r w:rsidRPr="001718DD">
        <w:rPr>
          <w:rFonts w:ascii="Times New Roman" w:hAnsi="Times New Roman" w:cs="Times New Roman"/>
          <w:color w:val="000000" w:themeColor="text1"/>
          <w:highlight w:val="yellow"/>
        </w:rPr>
        <w:t xml:space="preserve">A </w:t>
      </w:r>
      <w:r w:rsidRPr="001718DD">
        <w:rPr>
          <w:rFonts w:ascii="Times New Roman" w:hAnsi="Times New Roman" w:cs="Times New Roman"/>
          <w:i/>
          <w:color w:val="000000" w:themeColor="text1"/>
          <w:highlight w:val="yellow"/>
        </w:rPr>
        <w:t xml:space="preserve">História </w:t>
      </w:r>
      <w:r w:rsidRPr="001718DD">
        <w:rPr>
          <w:rFonts w:ascii="Times New Roman" w:hAnsi="Times New Roman" w:cs="Times New Roman"/>
          <w:color w:val="000000" w:themeColor="text1"/>
          <w:highlight w:val="yellow"/>
        </w:rPr>
        <w:t>é do mundo, de</w:t>
      </w:r>
      <w:r w:rsidRPr="001718DD">
        <w:rPr>
          <w:rFonts w:ascii="Times New Roman" w:hAnsi="Times New Roman" w:cs="Times New Roman"/>
          <w:i/>
          <w:color w:val="000000" w:themeColor="text1"/>
          <w:highlight w:val="yellow"/>
        </w:rPr>
        <w:t xml:space="preserve"> </w:t>
      </w:r>
      <w:proofErr w:type="spellStart"/>
      <w:r w:rsidRPr="001718DD">
        <w:rPr>
          <w:rFonts w:ascii="Times New Roman" w:hAnsi="Times New Roman" w:cs="Times New Roman"/>
          <w:color w:val="000000" w:themeColor="text1"/>
          <w:highlight w:val="yellow"/>
        </w:rPr>
        <w:t>Hillyer</w:t>
      </w:r>
      <w:proofErr w:type="spellEnd"/>
      <w:r w:rsidRPr="001718DD">
        <w:rPr>
          <w:rFonts w:ascii="Times New Roman" w:hAnsi="Times New Roman" w:cs="Times New Roman"/>
          <w:color w:val="000000" w:themeColor="text1"/>
          <w:highlight w:val="yellow"/>
        </w:rPr>
        <w:t>, Lobato ou Dona Benta? É de muitos autores!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São Paulo</w:t>
      </w:r>
    </w:p>
    <w:p w:rsidR="001718DD" w:rsidRPr="0083742C" w:rsidRDefault="001718DD" w:rsidP="001718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1718DD" w:rsidRPr="003F2661" w:rsidRDefault="001718DD" w:rsidP="0017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F2661">
        <w:rPr>
          <w:rFonts w:ascii="Times New Roman" w:hAnsi="Times New Roman" w:cs="Times New Roman"/>
          <w:sz w:val="28"/>
          <w:szCs w:val="28"/>
        </w:rPr>
        <w:lastRenderedPageBreak/>
        <w:t>CAMILA RUSSO DE ALMEIDA</w:t>
      </w: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 w:rsidRPr="003F2661">
        <w:rPr>
          <w:rFonts w:ascii="Times New Roman" w:hAnsi="Times New Roman" w:cs="Times New Roman"/>
          <w:sz w:val="28"/>
          <w:szCs w:val="28"/>
        </w:rPr>
        <w:tab/>
      </w: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3F2661" w:rsidRDefault="001718DD" w:rsidP="001718DD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:rsidR="001718DD" w:rsidRPr="00BA7DA2" w:rsidRDefault="001718DD" w:rsidP="001718DD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O silêncio do outro lado de </w:t>
      </w:r>
      <w:r w:rsidRPr="00BA7DA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A Barca de Gleyre?</w:t>
      </w:r>
    </w:p>
    <w:p w:rsidR="001718DD" w:rsidRPr="003F2661" w:rsidRDefault="001718DD" w:rsidP="001718DD">
      <w:pPr>
        <w:jc w:val="center"/>
        <w:rPr>
          <w:rFonts w:ascii="Times New Roman" w:hAnsi="Times New Roman" w:cs="Times New Roman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t>Ah! As tão esperadas cartas de Godofredo Rangel...</w:t>
      </w:r>
    </w:p>
    <w:p w:rsidR="001718DD" w:rsidRDefault="001718DD" w:rsidP="001718DD">
      <w:pPr>
        <w:rPr>
          <w:rFonts w:ascii="Times New Roman" w:hAnsi="Times New Roman" w:cs="Times New Roman"/>
        </w:rPr>
      </w:pPr>
    </w:p>
    <w:p w:rsidR="001718DD" w:rsidRPr="003F2661" w:rsidRDefault="001718DD" w:rsidP="001718DD">
      <w:pPr>
        <w:rPr>
          <w:rFonts w:ascii="Times New Roman" w:hAnsi="Times New Roman" w:cs="Times New Roman"/>
        </w:rPr>
      </w:pPr>
    </w:p>
    <w:p w:rsidR="001718DD" w:rsidRPr="003F2661" w:rsidRDefault="001718DD" w:rsidP="001718DD">
      <w:pPr>
        <w:rPr>
          <w:rFonts w:ascii="Times New Roman" w:hAnsi="Times New Roman" w:cs="Times New Roman"/>
        </w:rPr>
      </w:pPr>
    </w:p>
    <w:p w:rsidR="001718DD" w:rsidRPr="00BA7DA2" w:rsidRDefault="001718DD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  <w:r w:rsidRPr="00BA7DA2">
        <w:rPr>
          <w:rFonts w:ascii="Times New Roman" w:hAnsi="Times New Roman" w:cs="Times New Roman"/>
          <w:sz w:val="24"/>
          <w:szCs w:val="20"/>
        </w:rPr>
        <w:t xml:space="preserve">Trabalho final apresentado à disciplina Figurações da Família: Psicanálise e Literatura Brasileira </w:t>
      </w:r>
      <w:r w:rsidR="00BA7DA2">
        <w:rPr>
          <w:rFonts w:ascii="Times New Roman" w:hAnsi="Times New Roman" w:cs="Times New Roman"/>
          <w:sz w:val="24"/>
          <w:szCs w:val="20"/>
        </w:rPr>
        <w:t xml:space="preserve">do programa de pós-graduação </w:t>
      </w:r>
      <w:r w:rsidRPr="00BA7DA2">
        <w:rPr>
          <w:rFonts w:ascii="Times New Roman" w:hAnsi="Times New Roman" w:cs="Times New Roman"/>
          <w:sz w:val="24"/>
          <w:szCs w:val="20"/>
        </w:rPr>
        <w:t>em Literatura Brasileira na Faculdade de Filosofia, Letras e Ciências Humanas da Universidade de São Paulo.</w:t>
      </w:r>
    </w:p>
    <w:p w:rsidR="001718DD" w:rsidRPr="00BA7DA2" w:rsidRDefault="001718DD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</w:p>
    <w:p w:rsidR="001718DD" w:rsidRPr="00BA7DA2" w:rsidRDefault="001718DD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  <w:r w:rsidRPr="00BA7DA2">
        <w:rPr>
          <w:rFonts w:ascii="Times New Roman" w:hAnsi="Times New Roman" w:cs="Times New Roman"/>
          <w:sz w:val="24"/>
          <w:szCs w:val="20"/>
        </w:rPr>
        <w:t xml:space="preserve">Orientação da disciplina: </w:t>
      </w:r>
    </w:p>
    <w:p w:rsidR="001718DD" w:rsidRDefault="00BA7DA2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4"/>
          <w:szCs w:val="20"/>
        </w:rPr>
      </w:pPr>
      <w:r w:rsidRPr="00BA7DA2">
        <w:rPr>
          <w:rFonts w:ascii="Times New Roman" w:hAnsi="Times New Roman" w:cs="Times New Roman"/>
          <w:sz w:val="24"/>
          <w:szCs w:val="20"/>
        </w:rPr>
        <w:t xml:space="preserve">Profa. Dra. </w:t>
      </w:r>
      <w:proofErr w:type="spellStart"/>
      <w:r w:rsidRPr="00BA7DA2">
        <w:rPr>
          <w:rFonts w:ascii="Times New Roman" w:hAnsi="Times New Roman" w:cs="Times New Roman"/>
          <w:sz w:val="24"/>
          <w:szCs w:val="20"/>
        </w:rPr>
        <w:t>Y</w:t>
      </w:r>
      <w:r>
        <w:rPr>
          <w:rFonts w:ascii="Times New Roman" w:hAnsi="Times New Roman" w:cs="Times New Roman"/>
          <w:sz w:val="24"/>
          <w:szCs w:val="20"/>
        </w:rPr>
        <w:t>udith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Rosen</w:t>
      </w:r>
      <w:r w:rsidRPr="00BA7DA2">
        <w:rPr>
          <w:rFonts w:ascii="Times New Roman" w:hAnsi="Times New Roman" w:cs="Times New Roman"/>
          <w:sz w:val="24"/>
          <w:szCs w:val="20"/>
        </w:rPr>
        <w:t>baum</w:t>
      </w:r>
      <w:proofErr w:type="spellEnd"/>
    </w:p>
    <w:p w:rsidR="00BA7DA2" w:rsidRPr="00BA7DA2" w:rsidRDefault="00BA7DA2" w:rsidP="00BA7DA2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</w:rPr>
      </w:pPr>
      <w:r w:rsidRPr="00BA7DA2">
        <w:rPr>
          <w:rFonts w:ascii="Times New Roman" w:hAnsi="Times New Roman" w:cs="Times New Roman"/>
          <w:sz w:val="24"/>
          <w:szCs w:val="20"/>
        </w:rPr>
        <w:t>Profa. Dra</w:t>
      </w:r>
      <w:r>
        <w:rPr>
          <w:rFonts w:ascii="Times New Roman" w:hAnsi="Times New Roman" w:cs="Times New Roman"/>
          <w:sz w:val="24"/>
          <w:szCs w:val="20"/>
        </w:rPr>
        <w:t xml:space="preserve">. Belinda </w:t>
      </w:r>
      <w:proofErr w:type="spellStart"/>
      <w:r>
        <w:rPr>
          <w:rFonts w:ascii="Times New Roman" w:hAnsi="Times New Roman" w:cs="Times New Roman"/>
          <w:sz w:val="24"/>
          <w:szCs w:val="20"/>
        </w:rPr>
        <w:t>Mandelbaum</w:t>
      </w:r>
      <w:proofErr w:type="spellEnd"/>
    </w:p>
    <w:p w:rsidR="001718DD" w:rsidRPr="003F2661" w:rsidRDefault="001718DD" w:rsidP="001718DD">
      <w:pPr>
        <w:rPr>
          <w:rFonts w:ascii="Times New Roman" w:hAnsi="Times New Roman" w:cs="Times New Roman"/>
        </w:rPr>
      </w:pPr>
    </w:p>
    <w:p w:rsidR="001718DD" w:rsidRPr="001718DD" w:rsidRDefault="001718DD" w:rsidP="001718DD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</w:p>
    <w:p w:rsidR="001718DD" w:rsidRPr="003F2661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1718DD" w:rsidRPr="003F2661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1718DD" w:rsidRPr="003F2661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1718DD" w:rsidRDefault="001718DD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BA7DA2" w:rsidRPr="003F2661" w:rsidRDefault="00BA7DA2" w:rsidP="001718DD">
      <w:pPr>
        <w:tabs>
          <w:tab w:val="left" w:pos="3312"/>
        </w:tabs>
        <w:rPr>
          <w:rFonts w:ascii="Times New Roman" w:hAnsi="Times New Roman" w:cs="Times New Roman"/>
        </w:rPr>
      </w:pPr>
    </w:p>
    <w:p w:rsidR="00BA7DA2" w:rsidRPr="0083742C" w:rsidRDefault="00BA7DA2" w:rsidP="00BA7DA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742C">
        <w:rPr>
          <w:rFonts w:ascii="Times New Roman" w:hAnsi="Times New Roman" w:cs="Times New Roman"/>
          <w:sz w:val="24"/>
          <w:szCs w:val="24"/>
        </w:rPr>
        <w:t>São Paulo</w:t>
      </w:r>
    </w:p>
    <w:p w:rsidR="00BA7DA2" w:rsidRPr="0083742C" w:rsidRDefault="00BA7DA2" w:rsidP="00BA7D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BA7DA2" w:rsidRPr="00BA7DA2" w:rsidRDefault="00BA7DA2" w:rsidP="00BA7DA2">
      <w:pPr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O silêncio do outro lado de </w:t>
      </w:r>
      <w:r w:rsidRPr="00BA7DA2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A Barca de Gleyre?</w:t>
      </w:r>
    </w:p>
    <w:p w:rsidR="00BA7DA2" w:rsidRPr="00BA7DA2" w:rsidRDefault="00BA7DA2" w:rsidP="00BA7DA2">
      <w:pPr>
        <w:jc w:val="center"/>
        <w:rPr>
          <w:rFonts w:ascii="Times New Roman" w:hAnsi="Times New Roman" w:cs="Times New Roman"/>
          <w:highlight w:val="yellow"/>
        </w:rPr>
      </w:pPr>
      <w:r w:rsidRPr="00BA7DA2">
        <w:rPr>
          <w:rFonts w:ascii="Times New Roman" w:hAnsi="Times New Roman" w:cs="Times New Roman"/>
          <w:b/>
          <w:sz w:val="28"/>
          <w:szCs w:val="28"/>
          <w:highlight w:val="yellow"/>
        </w:rPr>
        <w:t>Ah! As tão esperadas cartas de Godofredo Rangel...</w:t>
      </w:r>
    </w:p>
    <w:p w:rsidR="00BA7DA2" w:rsidRPr="00BA7DA2" w:rsidRDefault="00BA7DA2" w:rsidP="00BA7DA2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A7DA2" w:rsidRPr="00BA7DA2" w:rsidRDefault="00BA7DA2" w:rsidP="00BA7DA2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A7DA2" w:rsidRPr="00BA7DA2" w:rsidRDefault="00BA7DA2" w:rsidP="00BA7DA2">
      <w:pPr>
        <w:jc w:val="both"/>
        <w:rPr>
          <w:rFonts w:ascii="Times New Roman" w:hAnsi="Times New Roman" w:cs="Times New Roman"/>
          <w:highlight w:val="yellow"/>
        </w:rPr>
      </w:pPr>
      <w:r w:rsidRPr="00BA7DA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Resumo: </w:t>
      </w:r>
      <w:r w:rsidRPr="00BA7DA2">
        <w:rPr>
          <w:rFonts w:ascii="Times New Roman" w:hAnsi="Times New Roman" w:cs="Times New Roman"/>
          <w:highlight w:val="yellow"/>
        </w:rPr>
        <w:t xml:space="preserve">As cartas de Monteiro Lobato (1882-1948) a Godofredo Rangel (1884-1951) estão reunidas em </w:t>
      </w:r>
      <w:r w:rsidRPr="00BA7DA2">
        <w:rPr>
          <w:rFonts w:ascii="Times New Roman" w:hAnsi="Times New Roman" w:cs="Times New Roman"/>
          <w:i/>
          <w:highlight w:val="yellow"/>
        </w:rPr>
        <w:t xml:space="preserve">A Barca de Gleyre </w:t>
      </w:r>
      <w:r w:rsidRPr="00BA7DA2">
        <w:rPr>
          <w:rFonts w:ascii="Times New Roman" w:hAnsi="Times New Roman" w:cs="Times New Roman"/>
          <w:highlight w:val="yellow"/>
        </w:rPr>
        <w:t xml:space="preserve">(1944), sendo o outro lado dessa correspondência considerado uma espécie de lacuna nesta conversa epistolar. Entretanto, dezessete cartas de Rangel foram publicadas (1984) no </w:t>
      </w:r>
      <w:r w:rsidRPr="00BA7DA2">
        <w:rPr>
          <w:rFonts w:ascii="Times New Roman" w:hAnsi="Times New Roman" w:cs="Times New Roman"/>
          <w:i/>
          <w:highlight w:val="yellow"/>
        </w:rPr>
        <w:t>Suplemento Literário de Minas Gerais</w:t>
      </w:r>
      <w:r w:rsidRPr="00BA7DA2">
        <w:rPr>
          <w:rFonts w:ascii="Times New Roman" w:hAnsi="Times New Roman" w:cs="Times New Roman"/>
          <w:highlight w:val="yellow"/>
        </w:rPr>
        <w:t xml:space="preserve">. O trabalho levanta algumas das relações e dos possíveis diálogos entre as cartas de Lobato e as até então inéditas de Rangel, recuperando trechos que lidem com a própria publicação dessa correspondência e também com os bastidores da publicação da obra de Rangel </w:t>
      </w:r>
      <w:r w:rsidRPr="00BA7DA2">
        <w:rPr>
          <w:rFonts w:ascii="Times New Roman" w:hAnsi="Times New Roman" w:cs="Times New Roman"/>
          <w:i/>
          <w:highlight w:val="yellow"/>
        </w:rPr>
        <w:t>Vida Ociosa</w:t>
      </w:r>
      <w:r w:rsidRPr="00BA7DA2">
        <w:rPr>
          <w:rFonts w:ascii="Times New Roman" w:hAnsi="Times New Roman" w:cs="Times New Roman"/>
          <w:highlight w:val="yellow"/>
        </w:rPr>
        <w:t xml:space="preserve">. Diante de uma perspectiva que coloca as cartas como um discurso que pode trazer elementos considerados testemunhos da criação, a pesquisa é norteada por pressupostos que relacionam à Epistolografia e à Crítica Genética. Além disso, o trabalho reúne informações levantadas através do </w:t>
      </w:r>
      <w:r w:rsidRPr="00BA7DA2">
        <w:rPr>
          <w:rFonts w:ascii="Times New Roman" w:hAnsi="Times New Roman" w:cs="Times New Roman"/>
          <w:i/>
          <w:highlight w:val="yellow"/>
        </w:rPr>
        <w:t xml:space="preserve">Suplemento </w:t>
      </w:r>
      <w:r w:rsidRPr="00BA7DA2">
        <w:rPr>
          <w:rFonts w:ascii="Times New Roman" w:hAnsi="Times New Roman" w:cs="Times New Roman"/>
          <w:highlight w:val="yellow"/>
        </w:rPr>
        <w:t xml:space="preserve">que permitem conhecer um pouco mais acerca de Rangel e sua produção literária. </w:t>
      </w:r>
    </w:p>
    <w:p w:rsidR="00BA7DA2" w:rsidRPr="00BA7DA2" w:rsidRDefault="00BA7DA2" w:rsidP="00BA7DA2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BA7DA2" w:rsidRPr="00BA7DA2" w:rsidRDefault="00BA7DA2" w:rsidP="00BA7DA2">
      <w:p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A7DA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Palavras-chave: </w:t>
      </w:r>
      <w:r w:rsidRPr="00BA7DA2">
        <w:rPr>
          <w:rFonts w:ascii="Times New Roman" w:hAnsi="Times New Roman" w:cs="Times New Roman"/>
          <w:highlight w:val="yellow"/>
        </w:rPr>
        <w:t>Monteiro Lobato; Godofredo Rangel; Epistolografia.</w:t>
      </w:r>
    </w:p>
    <w:p w:rsidR="00BA7DA2" w:rsidRPr="00BA7DA2" w:rsidRDefault="00BA7DA2" w:rsidP="00BA7DA2">
      <w:pPr>
        <w:spacing w:line="360" w:lineRule="auto"/>
        <w:ind w:left="2268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A7DA2" w:rsidRPr="00BA7DA2" w:rsidRDefault="00BA7DA2" w:rsidP="00BA7DA2">
      <w:pPr>
        <w:spacing w:line="360" w:lineRule="auto"/>
        <w:ind w:left="2268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>Acabei de ordenar mais ou menos tuas cartas. Fazem um pacote de uns dois quilos. Impressos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, dariam</w:t>
      </w:r>
      <w:proofErr w:type="gram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uns cinco volumes a </w:t>
      </w:r>
      <w:proofErr w:type="spell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Charpentier</w:t>
      </w:r>
      <w:proofErr w:type="spell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. Cá estão ao teu dispor. Foi meu compêndio de estética. [...] Tuas cartas são um curso completo, e mais uma vez te 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lembro</w:t>
      </w:r>
      <w:proofErr w:type="gram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que ali tens massa para um livro de arte maciça, condensada, além de outros de prosa leve, que seduzem pela naturalidade do dizer, aliada à sutileza do conceito[...].</w:t>
      </w:r>
    </w:p>
    <w:p w:rsidR="00BA7DA2" w:rsidRPr="00BA7DA2" w:rsidRDefault="00BA7DA2" w:rsidP="00BA7DA2">
      <w:pPr>
        <w:spacing w:line="360" w:lineRule="auto"/>
        <w:ind w:left="2268" w:firstLine="851"/>
        <w:jc w:val="right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>[Carta de Godofredo Rangel a Monteiro Lobato, 15/10/1916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]</w:t>
      </w:r>
      <w:proofErr w:type="gramEnd"/>
      <w:r w:rsidRPr="00BA7DA2">
        <w:rPr>
          <w:rStyle w:val="Refdenotaderodap"/>
          <w:rFonts w:ascii="Times New Roman" w:hAnsi="Times New Roman" w:cs="Times New Roman"/>
          <w:sz w:val="20"/>
          <w:szCs w:val="20"/>
          <w:highlight w:val="yellow"/>
        </w:rPr>
        <w:footnoteReference w:id="1"/>
      </w:r>
    </w:p>
    <w:p w:rsidR="00BA7DA2" w:rsidRPr="00BA7DA2" w:rsidRDefault="00BA7DA2" w:rsidP="00BA7DA2">
      <w:pPr>
        <w:spacing w:line="360" w:lineRule="auto"/>
        <w:ind w:left="2268" w:firstLine="851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A7DA2" w:rsidRPr="00BA7DA2" w:rsidRDefault="00BA7DA2" w:rsidP="00BA7DA2">
      <w:pPr>
        <w:spacing w:line="360" w:lineRule="auto"/>
        <w:ind w:left="2268" w:firstLine="851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Daqui uns tempos, se tiver pachorra e houver encontrado um bom plano de coordenação, quero ver se tiro um livro </w:t>
      </w:r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teu</w:t>
      </w:r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das tuas cartas. </w:t>
      </w:r>
      <w:proofErr w:type="spell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Manda-mas</w:t>
      </w:r>
      <w:proofErr w:type="spell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logo que 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>possas,</w:t>
      </w:r>
      <w:proofErr w:type="gram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que preciso delas para rever algumas velhas coisas que me interessam. Creio que é legítima velhice esse gosto de reler e mexer em papéis velhos... Ou será sintoma de cabeça assentada. Quando a gente se desilude de esperar belas coisas do Futuro, vê que essas belas coisas já nos passaram despercebidas entre as mãos </w:t>
      </w:r>
      <w:r w:rsidRPr="00BA7DA2">
        <w:rPr>
          <w:rFonts w:ascii="Times New Roman" w:hAnsi="Times New Roman" w:cs="Times New Roman"/>
          <w:sz w:val="20"/>
          <w:szCs w:val="20"/>
          <w:highlight w:val="yellow"/>
        </w:rPr>
        <w:lastRenderedPageBreak/>
        <w:t xml:space="preserve">sôfregas: volvemos então a remexer no </w:t>
      </w:r>
      <w:proofErr w:type="spellStart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bric</w:t>
      </w:r>
      <w:proofErr w:type="spellEnd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-</w:t>
      </w:r>
      <w:proofErr w:type="gramStart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à</w:t>
      </w:r>
      <w:proofErr w:type="gramEnd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-</w:t>
      </w:r>
      <w:proofErr w:type="spellStart"/>
      <w:r w:rsidRPr="00BA7DA2">
        <w:rPr>
          <w:rFonts w:ascii="Times New Roman" w:hAnsi="Times New Roman" w:cs="Times New Roman"/>
          <w:i/>
          <w:sz w:val="20"/>
          <w:szCs w:val="20"/>
          <w:highlight w:val="yellow"/>
        </w:rPr>
        <w:t>brac</w:t>
      </w:r>
      <w:proofErr w:type="spellEnd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do passado, onde encontramos o melhor do que buscávamos. Mas já é muito misticismo para uma só carta.</w:t>
      </w:r>
    </w:p>
    <w:p w:rsidR="00BA7DA2" w:rsidRPr="00BA7DA2" w:rsidRDefault="00BA7DA2" w:rsidP="00BA7DA2">
      <w:pPr>
        <w:spacing w:line="360" w:lineRule="auto"/>
        <w:ind w:left="2268" w:firstLine="851"/>
        <w:jc w:val="right"/>
        <w:rPr>
          <w:rFonts w:ascii="Times New Roman" w:hAnsi="Times New Roman" w:cs="Times New Roman"/>
          <w:sz w:val="20"/>
          <w:szCs w:val="20"/>
          <w:highlight w:val="yellow"/>
        </w:rPr>
      </w:pPr>
      <w:r w:rsidRPr="00BA7DA2">
        <w:rPr>
          <w:rFonts w:ascii="Times New Roman" w:hAnsi="Times New Roman" w:cs="Times New Roman"/>
          <w:sz w:val="20"/>
          <w:szCs w:val="20"/>
          <w:highlight w:val="yellow"/>
        </w:rPr>
        <w:t>[Carta de Godofredo Rangel a Monteiro Lobato, 21/11/1917]</w:t>
      </w:r>
      <w:proofErr w:type="gramStart"/>
      <w:r w:rsidRPr="00BA7DA2">
        <w:rPr>
          <w:rFonts w:ascii="Times New Roman" w:hAnsi="Times New Roman" w:cs="Times New Roman"/>
          <w:sz w:val="20"/>
          <w:szCs w:val="20"/>
          <w:highlight w:val="yellow"/>
        </w:rPr>
        <w:t xml:space="preserve">  </w:t>
      </w:r>
      <w:proofErr w:type="gramEnd"/>
      <w:r w:rsidRPr="00BA7DA2">
        <w:rPr>
          <w:rStyle w:val="Refdenotaderodap"/>
          <w:rFonts w:ascii="Times New Roman" w:hAnsi="Times New Roman" w:cs="Times New Roman"/>
          <w:sz w:val="20"/>
          <w:szCs w:val="20"/>
          <w:highlight w:val="yellow"/>
        </w:rPr>
        <w:footnoteReference w:id="2"/>
      </w:r>
    </w:p>
    <w:p w:rsidR="0073123B" w:rsidRPr="00BA7DA2" w:rsidRDefault="0073123B" w:rsidP="00BA7DA2">
      <w:pPr>
        <w:spacing w:line="360" w:lineRule="auto"/>
        <w:ind w:left="2268" w:firstLine="851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73123B" w:rsidRDefault="001B57CC" w:rsidP="001B57CC">
      <w:pPr>
        <w:pStyle w:val="Ttulo2"/>
        <w:rPr>
          <w:rFonts w:ascii="Times New Roman" w:hAnsi="Times New Roman" w:cs="Times New Roman"/>
          <w:color w:val="auto"/>
          <w:sz w:val="28"/>
        </w:rPr>
      </w:pPr>
      <w:r w:rsidRPr="001B57CC">
        <w:rPr>
          <w:rFonts w:ascii="Times New Roman" w:hAnsi="Times New Roman" w:cs="Times New Roman"/>
          <w:color w:val="auto"/>
          <w:sz w:val="28"/>
        </w:rPr>
        <w:t>(Re</w:t>
      </w:r>
      <w:proofErr w:type="gramStart"/>
      <w:r w:rsidRPr="001B57CC">
        <w:rPr>
          <w:rFonts w:ascii="Times New Roman" w:hAnsi="Times New Roman" w:cs="Times New Roman"/>
          <w:color w:val="auto"/>
          <w:sz w:val="28"/>
        </w:rPr>
        <w:t>)descobrindo</w:t>
      </w:r>
      <w:proofErr w:type="gramEnd"/>
      <w:r w:rsidRPr="001B57CC">
        <w:rPr>
          <w:rFonts w:ascii="Times New Roman" w:hAnsi="Times New Roman" w:cs="Times New Roman"/>
          <w:color w:val="auto"/>
          <w:sz w:val="28"/>
        </w:rPr>
        <w:t xml:space="preserve"> </w:t>
      </w:r>
      <w:r w:rsidR="0073123B" w:rsidRPr="001B57CC">
        <w:rPr>
          <w:rFonts w:ascii="Times New Roman" w:hAnsi="Times New Roman" w:cs="Times New Roman"/>
          <w:color w:val="auto"/>
          <w:sz w:val="28"/>
        </w:rPr>
        <w:t>Godofredo Rangel</w:t>
      </w:r>
    </w:p>
    <w:p w:rsidR="001B57CC" w:rsidRPr="001B57CC" w:rsidRDefault="001B57CC" w:rsidP="001B57CC"/>
    <w:p w:rsidR="00915F3B" w:rsidRDefault="001B57CC" w:rsidP="0089156B">
      <w:pPr>
        <w:tabs>
          <w:tab w:val="left" w:pos="709"/>
        </w:tabs>
        <w:spacing w:after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56B">
        <w:rPr>
          <w:rFonts w:ascii="Times New Roman" w:hAnsi="Times New Roman" w:cs="Times New Roman"/>
          <w:sz w:val="24"/>
          <w:szCs w:val="24"/>
        </w:rPr>
        <w:t>Enquanto alguns escritores dispensam apresentação, Godofredo Rangel</w:t>
      </w:r>
      <w:r w:rsidR="009B659A">
        <w:rPr>
          <w:rFonts w:ascii="Times New Roman" w:hAnsi="Times New Roman" w:cs="Times New Roman"/>
          <w:sz w:val="24"/>
          <w:szCs w:val="24"/>
        </w:rPr>
        <w:t xml:space="preserve"> (1884-1951)</w:t>
      </w:r>
      <w:r w:rsidR="0089156B">
        <w:rPr>
          <w:rFonts w:ascii="Times New Roman" w:hAnsi="Times New Roman" w:cs="Times New Roman"/>
          <w:sz w:val="24"/>
          <w:szCs w:val="24"/>
        </w:rPr>
        <w:t xml:space="preserve"> faz parte daquela lista de autores lidos na época em que publicava seus textos, </w:t>
      </w:r>
      <w:r w:rsidR="00BC79A0">
        <w:rPr>
          <w:rFonts w:ascii="Times New Roman" w:hAnsi="Times New Roman" w:cs="Times New Roman"/>
          <w:sz w:val="24"/>
          <w:szCs w:val="24"/>
        </w:rPr>
        <w:t>recebendo</w:t>
      </w:r>
      <w:r w:rsidR="00915F3B">
        <w:rPr>
          <w:rFonts w:ascii="Times New Roman" w:hAnsi="Times New Roman" w:cs="Times New Roman"/>
          <w:sz w:val="24"/>
          <w:szCs w:val="24"/>
        </w:rPr>
        <w:t xml:space="preserve">, inclusive, </w:t>
      </w:r>
      <w:r w:rsidR="0089156B">
        <w:rPr>
          <w:rFonts w:ascii="Times New Roman" w:hAnsi="Times New Roman" w:cs="Times New Roman"/>
          <w:sz w:val="24"/>
          <w:szCs w:val="24"/>
        </w:rPr>
        <w:t xml:space="preserve">críticas de </w:t>
      </w:r>
      <w:proofErr w:type="spellStart"/>
      <w:r w:rsidR="0089156B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="0089156B">
        <w:rPr>
          <w:rFonts w:ascii="Times New Roman" w:hAnsi="Times New Roman" w:cs="Times New Roman"/>
          <w:sz w:val="24"/>
          <w:szCs w:val="24"/>
        </w:rPr>
        <w:t xml:space="preserve"> Candido e Carlos Drummond de Andrade,</w:t>
      </w:r>
      <w:r w:rsidR="00BB142F">
        <w:rPr>
          <w:rFonts w:ascii="Times New Roman" w:hAnsi="Times New Roman" w:cs="Times New Roman"/>
          <w:sz w:val="24"/>
          <w:szCs w:val="24"/>
        </w:rPr>
        <w:t xml:space="preserve"> entre outras; Contudo, </w:t>
      </w:r>
      <w:r w:rsidR="0089156B">
        <w:rPr>
          <w:rFonts w:ascii="Times New Roman" w:hAnsi="Times New Roman" w:cs="Times New Roman"/>
          <w:sz w:val="24"/>
          <w:szCs w:val="24"/>
        </w:rPr>
        <w:t>atualmente</w:t>
      </w:r>
      <w:r w:rsidR="00915F3B">
        <w:rPr>
          <w:rFonts w:ascii="Times New Roman" w:hAnsi="Times New Roman" w:cs="Times New Roman"/>
          <w:sz w:val="24"/>
          <w:szCs w:val="24"/>
        </w:rPr>
        <w:t>,</w:t>
      </w:r>
      <w:r w:rsidR="0089156B">
        <w:rPr>
          <w:rFonts w:ascii="Times New Roman" w:hAnsi="Times New Roman" w:cs="Times New Roman"/>
          <w:sz w:val="24"/>
          <w:szCs w:val="24"/>
        </w:rPr>
        <w:t xml:space="preserve"> poucos conhecem sua produção literária. </w:t>
      </w:r>
    </w:p>
    <w:p w:rsidR="0089156B" w:rsidRDefault="00915F3B" w:rsidP="0089156B">
      <w:pPr>
        <w:tabs>
          <w:tab w:val="left" w:pos="709"/>
        </w:tabs>
        <w:spacing w:after="240" w:line="480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156B">
        <w:rPr>
          <w:rFonts w:ascii="Times New Roman" w:hAnsi="Times New Roman" w:cs="Times New Roman"/>
          <w:color w:val="000000" w:themeColor="text1"/>
          <w:sz w:val="24"/>
          <w:szCs w:val="24"/>
        </w:rPr>
        <w:t>Mesmo tendo ocupado cadeira na Academia Mineira de Letras, p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oucas pesquisas detiveram-se em estudar a produção literária de Godofredo Rangel. Constituem-se exceção somente duas dissertações, até o presente momento, que focalizam</w: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-se em Rangel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: </w:t>
      </w:r>
      <w:r w:rsidR="0089156B">
        <w:rPr>
          <w:rFonts w:ascii="Times New Roman" w:eastAsia="Times New Roman" w:hAnsi="Times New Roman" w:cs="Times New Roman"/>
          <w:i/>
          <w:noProof/>
          <w:color w:val="000000" w:themeColor="text1"/>
          <w:sz w:val="24"/>
          <w:szCs w:val="24"/>
          <w:lang w:eastAsia="pt-BR"/>
        </w:rPr>
        <w:t xml:space="preserve">No balanço da 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Barca de Gleyre</w:t>
      </w:r>
      <w:r w:rsidR="0089156B">
        <w:rPr>
          <w:rFonts w:ascii="Times New Roman" w:eastAsia="Times New Roman" w:hAnsi="Times New Roman" w:cs="Times New Roman"/>
          <w:i/>
          <w:noProof/>
          <w:color w:val="000000" w:themeColor="text1"/>
          <w:sz w:val="24"/>
          <w:szCs w:val="24"/>
          <w:lang w:eastAsia="pt-BR"/>
        </w:rPr>
        <w:t xml:space="preserve">, vida e obra de José Godofredo de Moura Rangel, 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de Darcy Piva Dessimoni e </w:t>
      </w:r>
      <w:r w:rsidR="0089156B">
        <w:rPr>
          <w:rFonts w:ascii="Times New Roman" w:eastAsia="Times New Roman" w:hAnsi="Times New Roman" w:cs="Times New Roman"/>
          <w:i/>
          <w:noProof/>
          <w:color w:val="000000" w:themeColor="text1"/>
          <w:sz w:val="24"/>
          <w:szCs w:val="24"/>
          <w:lang w:eastAsia="pt-BR"/>
        </w:rPr>
        <w:t xml:space="preserve">A constituição do espaço em 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Vida ociosa, </w:t>
      </w:r>
      <w:r w:rsidR="0089156B">
        <w:rPr>
          <w:rFonts w:ascii="Times New Roman" w:eastAsia="Times New Roman" w:hAnsi="Times New Roman" w:cs="Times New Roman"/>
          <w:i/>
          <w:noProof/>
          <w:color w:val="000000" w:themeColor="text1"/>
          <w:sz w:val="24"/>
          <w:szCs w:val="24"/>
          <w:lang w:eastAsia="pt-BR"/>
        </w:rPr>
        <w:t xml:space="preserve">de Godofredo Rangel, 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de Danyelle Marques Freire da Silva; merece destaque também a tese </w:t>
      </w:r>
      <w:r w:rsidR="0089156B">
        <w:rPr>
          <w:rFonts w:ascii="Times New Roman" w:eastAsia="Times New Roman" w:hAnsi="Times New Roman" w:cs="Times New Roman"/>
          <w:i/>
          <w:noProof/>
          <w:color w:val="000000" w:themeColor="text1"/>
          <w:sz w:val="24"/>
          <w:szCs w:val="24"/>
          <w:lang w:eastAsia="pt-BR"/>
        </w:rPr>
        <w:t xml:space="preserve">A tradução na Era Vargas de 1930 a 1940: O Tarzan brasileiro de Manuel Bandeira, Monteiro Lobato e Godofredo Rangel, </w:t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de Célia Luiza Andrade Prado</w:t>
      </w:r>
      <w:r>
        <w:rPr>
          <w:rStyle w:val="Refdenotaderodap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footnoteReference w:id="3"/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, que recupera aspectos do trabalho de tradução desempenhado por Rangel, atividade esta que ocupou grande parte de sua vida por razões financeiras, tendo traduzido da língua francesa e inglesa um total de cinquenta e um títulos</w:t>
      </w:r>
      <w:r w:rsidR="0089156B">
        <w:rPr>
          <w:rStyle w:val="Refdenotaderodap"/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footnoteReference w:id="4"/>
      </w:r>
      <w:r w:rsidR="0089156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pt-BR"/>
        </w:rPr>
        <w:t>.</w:t>
      </w:r>
    </w:p>
    <w:p w:rsidR="00BC79A0" w:rsidRDefault="0089156B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os leitores e pesquisadores </w:t>
      </w:r>
      <w:r w:rsidR="00996CED"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AD3BB2">
        <w:rPr>
          <w:rFonts w:ascii="Times New Roman" w:hAnsi="Times New Roman" w:cs="Times New Roman"/>
          <w:sz w:val="24"/>
          <w:szCs w:val="24"/>
        </w:rPr>
        <w:t>o escritor</w:t>
      </w:r>
      <w:r>
        <w:rPr>
          <w:rFonts w:ascii="Times New Roman" w:hAnsi="Times New Roman" w:cs="Times New Roman"/>
          <w:sz w:val="24"/>
          <w:szCs w:val="24"/>
        </w:rPr>
        <w:t xml:space="preserve"> Monteiro Lobato (1882-1948), </w:t>
      </w:r>
      <w:r w:rsidR="00BC79A0">
        <w:rPr>
          <w:rFonts w:ascii="Times New Roman" w:hAnsi="Times New Roman" w:cs="Times New Roman"/>
          <w:sz w:val="24"/>
          <w:szCs w:val="24"/>
        </w:rPr>
        <w:t xml:space="preserve">a familiaridade com a figura de </w:t>
      </w:r>
      <w:r>
        <w:rPr>
          <w:rFonts w:ascii="Times New Roman" w:hAnsi="Times New Roman" w:cs="Times New Roman"/>
          <w:sz w:val="24"/>
          <w:szCs w:val="24"/>
        </w:rPr>
        <w:t xml:space="preserve">Rangel </w:t>
      </w:r>
      <w:r w:rsidR="00BC79A0">
        <w:rPr>
          <w:rFonts w:ascii="Times New Roman" w:hAnsi="Times New Roman" w:cs="Times New Roman"/>
          <w:sz w:val="24"/>
          <w:szCs w:val="24"/>
        </w:rPr>
        <w:t>se dá através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9A0"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sz w:val="24"/>
          <w:szCs w:val="24"/>
        </w:rPr>
        <w:t xml:space="preserve">correspondência </w:t>
      </w:r>
      <w:r w:rsidR="00BC79A0">
        <w:rPr>
          <w:rFonts w:ascii="Times New Roman" w:hAnsi="Times New Roman" w:cs="Times New Roman"/>
          <w:sz w:val="24"/>
          <w:szCs w:val="24"/>
        </w:rPr>
        <w:t xml:space="preserve">trocada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taubateano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cartas </w:t>
      </w:r>
      <w:r w:rsidR="00BC79A0">
        <w:rPr>
          <w:rFonts w:ascii="Times New Roman" w:hAnsi="Times New Roman" w:cs="Times New Roman"/>
          <w:sz w:val="24"/>
          <w:szCs w:val="24"/>
        </w:rPr>
        <w:t>estas reunidas em</w:t>
      </w:r>
      <w:r w:rsidR="00BC79A0"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</w:t>
      </w:r>
      <w:r w:rsidR="00BC79A0" w:rsidRPr="00BA446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pt-BR"/>
        </w:rPr>
        <w:t>A barca de Gleyre,</w:t>
      </w:r>
      <w:r w:rsidR="00BC79A0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livro que Lobato organiza e publica pela Companhia Editora Nacional em 1944, acha-se reunida somente </w:t>
      </w:r>
      <w:proofErr w:type="gramStart"/>
      <w:r w:rsidR="00BC79A0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proofErr w:type="gramEnd"/>
      <w:r w:rsidR="00BC79A0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correspondência ativa endereçada ao amigo e escritor Godofredo Rangel; soma 340 cartas e dois bilhetes. Cobre </w:t>
      </w:r>
      <w:r w:rsidR="00BC79A0"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o período 1903-1948, sendo o primeiro um bilhete sem data, dado como de 1903, e o último, uma carta de 23 de junho de 1948, doze dias antes da morte do remetente, encerrando mais de quarenta anos de conversa epistolar. </w:t>
      </w:r>
    </w:p>
    <w:p w:rsidR="00672B67" w:rsidRDefault="00AD3BB2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Mas para não correr o risco de ficar apenas margeando o escritor, quem foi mesmo Godofredo Rangel?</w:t>
      </w:r>
    </w:p>
    <w:p w:rsidR="00270B49" w:rsidRDefault="009B659A" w:rsidP="00723D0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Nasceu José Godofredo de Moura Rangel</w:t>
      </w:r>
      <w:r w:rsidR="00AD3BB2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na cidade mineira de Três Corações, a 21 de novembro de 1884,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filho de João Sílvio de Moura Rangel e Clara Augusta Gorgulho Rangel</w:t>
      </w:r>
      <w:r w:rsidR="003359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quinto filho dentro </w:t>
      </w:r>
      <w:proofErr w:type="gramStart"/>
      <w:r w:rsidR="003359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os oito Moura</w:t>
      </w:r>
      <w:proofErr w:type="gramEnd"/>
      <w:r w:rsidR="003359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Rangel</w:t>
      </w:r>
      <w:r w:rsidR="0033594F">
        <w:rPr>
          <w:rStyle w:val="Refdenotaderodap"/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footnoteReference w:id="5"/>
      </w:r>
      <w:r w:rsidR="003359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  <w:r w:rsidR="00723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Aos doze anos de idade, Rangel perde o pai e muda-se para São Paulo, onde passa a morar com a irmã Lavínia </w:t>
      </w:r>
      <w:proofErr w:type="spellStart"/>
      <w:r w:rsidR="00723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Paraguassu</w:t>
      </w:r>
      <w:proofErr w:type="spellEnd"/>
      <w:r w:rsidR="00723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. Em </w:t>
      </w:r>
      <w:r w:rsidR="00AD3BB2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1902</w:t>
      </w:r>
      <w:r w:rsidR="00723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passa a</w:t>
      </w:r>
      <w:r w:rsidR="00AD3BB2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cursar </w:t>
      </w:r>
      <w:r w:rsidR="00AD3BB2" w:rsidRPr="00BA4466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Ciências Jurídicas e Sociais</w:t>
      </w:r>
      <w:r w:rsidR="00723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no Largo de São Francisco</w:t>
      </w:r>
      <w:r w:rsidR="00AD3BB2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</w:t>
      </w:r>
      <w:r w:rsidR="00723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porém,</w:t>
      </w:r>
      <w:r w:rsidR="00AD3BB2"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em 1904, passa a residir em Campinas, onde leciona por alguns meses, valendo-se da possibilidade de prosseguir no curso jurídico sem frequência integral.</w:t>
      </w:r>
      <w:r w:rsidR="00AD3BB2"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</w:t>
      </w:r>
    </w:p>
    <w:p w:rsidR="0073123B" w:rsidRPr="00BA4466" w:rsidRDefault="00AD3BB2" w:rsidP="0073123B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Na época de estudante, Rangel conhece Lobato por intermédio do amigo Ricardo Gonçalves (1883 -1916) e c</w:t>
      </w:r>
      <w:r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om outros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jovens</w:t>
      </w:r>
      <w:r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, nem todos egressos do Largo de São Francisco, formam o grupo autodenominado Cenáculo que </w:t>
      </w:r>
      <w:r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se reúne, quase todas as noites, no Café Guarani, à </w:t>
      </w:r>
      <w:proofErr w:type="gramStart"/>
      <w:r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rua</w:t>
      </w:r>
      <w:proofErr w:type="gramEnd"/>
      <w:r w:rsidRPr="00BA446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15 de Novembro, e na república estudantil do Minarete, chalé amarelo no Belenzinho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onde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os três amigos chegaram a morar. </w:t>
      </w:r>
      <w:r w:rsidR="0073123B"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O crescimento das afinidades faz com que, em 1903, Lobato intime Rangel a ingressar no universo das cartas:</w:t>
      </w:r>
    </w:p>
    <w:p w:rsidR="0073123B" w:rsidRPr="00BA4466" w:rsidRDefault="0073123B" w:rsidP="0073123B">
      <w:pPr>
        <w:spacing w:after="0" w:line="240" w:lineRule="auto"/>
        <w:ind w:left="2268" w:firstLine="284"/>
        <w:jc w:val="both"/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</w:pPr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lastRenderedPageBreak/>
        <w:t>Sigo logo para a fazenda e quero de lá corresponder-me contigo longa e minuciosamente, em cartas intermináveis – mas é coisa que só farei se me convencer de que realmente queres semelhante coisa.</w:t>
      </w:r>
    </w:p>
    <w:p w:rsidR="0073123B" w:rsidRPr="00BA4466" w:rsidRDefault="0073123B" w:rsidP="0073123B">
      <w:pPr>
        <w:spacing w:after="0" w:line="240" w:lineRule="auto"/>
        <w:ind w:left="2268" w:firstLine="284"/>
        <w:jc w:val="both"/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</w:pPr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t xml:space="preserve">Mando um </w:t>
      </w:r>
      <w:r w:rsidRPr="00BA446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 xml:space="preserve">Estado </w:t>
      </w:r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t xml:space="preserve">com o discurso do Ramalho Ortigão, e o começo do meu </w:t>
      </w:r>
      <w:r w:rsidRPr="00BA4466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Diário</w:t>
      </w:r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t xml:space="preserve">. E vai uma revista com capa minha. </w:t>
      </w:r>
    </w:p>
    <w:p w:rsidR="0073123B" w:rsidRPr="00BA4466" w:rsidRDefault="0073123B" w:rsidP="0073123B">
      <w:pPr>
        <w:spacing w:after="240" w:line="240" w:lineRule="auto"/>
        <w:ind w:left="2268" w:firstLine="284"/>
        <w:jc w:val="both"/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</w:pPr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t xml:space="preserve">Responda sem demora se está disposto a ser caceteado à distância- </w:t>
      </w:r>
      <w:proofErr w:type="spellStart"/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t>telecaceteado</w:t>
      </w:r>
      <w:proofErr w:type="spellEnd"/>
      <w:r w:rsidRPr="00BA4466">
        <w:rPr>
          <w:rFonts w:ascii="Times New Roman" w:eastAsia="Times New Roman" w:hAnsi="Times New Roman" w:cs="Times New Roman"/>
          <w:iCs/>
          <w:color w:val="000000" w:themeColor="text1"/>
          <w:lang w:eastAsia="pt-BR"/>
        </w:rPr>
        <w:t>!</w:t>
      </w:r>
      <w:r w:rsidRPr="00BA4466">
        <w:rPr>
          <w:rFonts w:ascii="Times New Roman" w:eastAsia="Times New Roman" w:hAnsi="Times New Roman" w:cs="Times New Roman"/>
          <w:iCs/>
          <w:color w:val="000000" w:themeColor="text1"/>
          <w:vertAlign w:val="superscript"/>
          <w:lang w:eastAsia="pt-BR"/>
        </w:rPr>
        <w:footnoteReference w:id="6"/>
      </w:r>
    </w:p>
    <w:p w:rsidR="0073123B" w:rsidRPr="00BA4466" w:rsidRDefault="0073123B" w:rsidP="0073123B">
      <w:pPr>
        <w:spacing w:after="240" w:line="48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Cs w:val="24"/>
          <w:lang w:eastAsia="pt-BR"/>
        </w:rPr>
      </w:pPr>
      <w:r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Repleta de pequenos objetos de sedução nas menções ao jornal, o texto e a revista, as cartas fisgam o destinatário. Como não se tem acesso à resposta de Rangel, é o próprio perdurar da correspondência que testemunha o pacto epistolar. Ao reconhecer que era pouco o tempo de convívio, a amizade mantida na ausência transfere para o diálogo das cartas a encenação de uma quase convivência, sendo o meio encontrado para se expressar e, principalmente, compartilhar o exercício literário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.</w:t>
      </w:r>
    </w:p>
    <w:p w:rsidR="0073123B" w:rsidRPr="00BA4466" w:rsidRDefault="0073123B" w:rsidP="0073123B">
      <w:pPr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 w:rsidRPr="00270B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O gosto máximo pela literatura marca os primeiros anos dessa conversa em mangas de camisa e pé no chão, como a denomina Lobato em sua carta de </w:t>
      </w:r>
      <w:proofErr w:type="gramStart"/>
      <w:r w:rsidRPr="00270B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7</w:t>
      </w:r>
      <w:proofErr w:type="gramEnd"/>
      <w:r w:rsidRPr="00270B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de novembro de 1904</w:t>
      </w:r>
      <w:r w:rsidR="00270B49">
        <w:rPr>
          <w:rStyle w:val="Refdenotaderodap"/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footnoteReference w:id="7"/>
      </w:r>
      <w:r w:rsidRPr="00270B4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. Em meio a assuntos ligados à esfera cotidiana, os missivistas encontram na correspondência espaço para discorrer sobre leituras, criticar escritores e personalidades da época, trocar esboços e originais dos próprios textos, comentar a criação.</w:t>
      </w:r>
      <w:r w:rsidRPr="00BA4466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</w:t>
      </w:r>
    </w:p>
    <w:p w:rsidR="00AD3BB2" w:rsidRDefault="00AD3BB2" w:rsidP="00AD3BB2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272D98" w:rsidRDefault="00272D98" w:rsidP="00AD3BB2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272D98" w:rsidRDefault="00272D98" w:rsidP="00AD3BB2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RANGEL ESCREVE PARA JORNAIS E REVISTAS FALAR DA RB</w:t>
      </w:r>
    </w:p>
    <w:p w:rsidR="00672B67" w:rsidRDefault="00272D98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INSISTENCIA DE ML PARA PUBLICAR</w:t>
      </w:r>
    </w:p>
    <w:p w:rsidR="00272D98" w:rsidRDefault="00272D98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ANALISE DE O LEGADO</w:t>
      </w:r>
    </w:p>
    <w:p w:rsidR="00270B49" w:rsidRDefault="00270B49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270B49" w:rsidRDefault="00270B49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270B49" w:rsidRDefault="00270B49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FALAR DAS CIDADES ONDE MORA E O REGIONALISMO EM SUA OBRA</w:t>
      </w: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DISCIPLINA CONTO RB</w:t>
      </w: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PROJETO PARCIAL</w:t>
      </w: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Acervo IEB CONSULTA RB – GUIMARÃES ROSA EXTRAÇÃO TRECHO DE VIDA OCIOSA </w:t>
      </w: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BOLSA LICENCA</w:t>
      </w:r>
      <w:r w:rsidR="00AD3B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PRAZO </w:t>
      </w:r>
      <w:proofErr w:type="gramStart"/>
      <w:r w:rsidR="00AD3B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6</w:t>
      </w:r>
      <w:proofErr w:type="gramEnd"/>
      <w:r w:rsidR="00AD3B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 xml:space="preserve"> MESES</w:t>
      </w: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  <w:t>GRAVIDEZ + 3 ANOS</w:t>
      </w:r>
    </w:p>
    <w:p w:rsidR="00672B67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672B67" w:rsidRPr="00BA4466" w:rsidRDefault="00672B67" w:rsidP="00BC79A0">
      <w:pPr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pt-BR"/>
        </w:rPr>
      </w:pPr>
    </w:p>
    <w:p w:rsidR="0089156B" w:rsidRDefault="0089156B" w:rsidP="008915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93D35" w:rsidRDefault="00593D35" w:rsidP="00BA7D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93D35" w:rsidRDefault="00593D35" w:rsidP="00BA7DA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93D35" w:rsidRDefault="00593D35" w:rsidP="00BA7DA2">
      <w:pPr>
        <w:spacing w:line="360" w:lineRule="auto"/>
        <w:ind w:firstLine="708"/>
      </w:pPr>
    </w:p>
    <w:sectPr w:rsidR="00593D35" w:rsidSect="00BA7DA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90" w:rsidRDefault="007D3490" w:rsidP="001718DD">
      <w:pPr>
        <w:spacing w:after="0" w:line="240" w:lineRule="auto"/>
      </w:pPr>
      <w:r>
        <w:separator/>
      </w:r>
    </w:p>
  </w:endnote>
  <w:endnote w:type="continuationSeparator" w:id="0">
    <w:p w:rsidR="007D3490" w:rsidRDefault="007D3490" w:rsidP="0017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90" w:rsidRDefault="007D3490" w:rsidP="001718DD">
      <w:pPr>
        <w:spacing w:after="0" w:line="240" w:lineRule="auto"/>
      </w:pPr>
      <w:r>
        <w:separator/>
      </w:r>
    </w:p>
  </w:footnote>
  <w:footnote w:type="continuationSeparator" w:id="0">
    <w:p w:rsidR="007D3490" w:rsidRDefault="007D3490" w:rsidP="001718DD">
      <w:pPr>
        <w:spacing w:after="0" w:line="240" w:lineRule="auto"/>
      </w:pPr>
      <w:r>
        <w:continuationSeparator/>
      </w:r>
    </w:p>
  </w:footnote>
  <w:footnote w:id="1">
    <w:p w:rsidR="00BA7DA2" w:rsidRDefault="00BA7DA2" w:rsidP="00BA7DA2">
      <w:pPr>
        <w:pStyle w:val="Textodenotaderodap"/>
        <w:tabs>
          <w:tab w:val="left" w:pos="2127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EC1859">
        <w:rPr>
          <w:rFonts w:ascii="Times New Roman" w:hAnsi="Times New Roman" w:cs="Times New Roman"/>
        </w:rPr>
        <w:t xml:space="preserve">SAMPAIO, Márcio (org.). 40 anos de correspondência. </w:t>
      </w:r>
      <w:r w:rsidRPr="00EC1859">
        <w:rPr>
          <w:rFonts w:ascii="Times New Roman" w:hAnsi="Times New Roman" w:cs="Times New Roman"/>
          <w:i/>
        </w:rPr>
        <w:t>Suplemento Literário de Minas Gerais</w:t>
      </w:r>
      <w:r w:rsidRPr="00EC1859">
        <w:rPr>
          <w:rFonts w:ascii="Times New Roman" w:hAnsi="Times New Roman" w:cs="Times New Roman"/>
        </w:rPr>
        <w:t>, Belo Horizonte, ano 19, n. 948, p.</w:t>
      </w:r>
      <w:r>
        <w:rPr>
          <w:rFonts w:ascii="Times New Roman" w:hAnsi="Times New Roman" w:cs="Times New Roman"/>
        </w:rPr>
        <w:t>10</w:t>
      </w:r>
      <w:r w:rsidRPr="00EC1859">
        <w:rPr>
          <w:rFonts w:ascii="Times New Roman" w:hAnsi="Times New Roman" w:cs="Times New Roman"/>
        </w:rPr>
        <w:t>, 1° dez. 1984. (Carta de 15/10/1916).</w:t>
      </w:r>
    </w:p>
    <w:p w:rsidR="00BA7DA2" w:rsidRDefault="00BA7DA2" w:rsidP="00BA7DA2">
      <w:pPr>
        <w:pStyle w:val="Textodenotaderodap"/>
        <w:tabs>
          <w:tab w:val="left" w:pos="2127"/>
        </w:tabs>
        <w:spacing w:line="276" w:lineRule="auto"/>
        <w:jc w:val="both"/>
      </w:pPr>
    </w:p>
  </w:footnote>
  <w:footnote w:id="2">
    <w:p w:rsidR="00BA7DA2" w:rsidRDefault="00BA7DA2" w:rsidP="00BA7DA2">
      <w:pPr>
        <w:pStyle w:val="Textodenotaderodap"/>
        <w:tabs>
          <w:tab w:val="left" w:pos="2127"/>
        </w:tabs>
        <w:spacing w:line="276" w:lineRule="auto"/>
        <w:jc w:val="both"/>
        <w:rPr>
          <w:rFonts w:ascii="Times New Roman" w:hAnsi="Times New Roman" w:cs="Times New Roman"/>
        </w:rPr>
      </w:pPr>
      <w:r>
        <w:rPr>
          <w:rStyle w:val="Refdenotaderodap"/>
        </w:rPr>
        <w:footnoteRef/>
      </w:r>
      <w:r>
        <w:t xml:space="preserve"> </w:t>
      </w:r>
      <w:r w:rsidRPr="00EC1859">
        <w:rPr>
          <w:rFonts w:ascii="Times New Roman" w:hAnsi="Times New Roman" w:cs="Times New Roman"/>
        </w:rPr>
        <w:t xml:space="preserve">SAMPAIO, Márcio (org.). 40 anos de correspondência. </w:t>
      </w:r>
      <w:r w:rsidRPr="00EC1859">
        <w:rPr>
          <w:rFonts w:ascii="Times New Roman" w:hAnsi="Times New Roman" w:cs="Times New Roman"/>
          <w:i/>
        </w:rPr>
        <w:t>Suplemento Literário de Minas Gerais</w:t>
      </w:r>
      <w:r w:rsidRPr="00EC1859">
        <w:rPr>
          <w:rFonts w:ascii="Times New Roman" w:hAnsi="Times New Roman" w:cs="Times New Roman"/>
        </w:rPr>
        <w:t>, Belo Horizonte, ano 19, n. 948, p.</w:t>
      </w:r>
      <w:r>
        <w:rPr>
          <w:rFonts w:ascii="Times New Roman" w:hAnsi="Times New Roman" w:cs="Times New Roman"/>
        </w:rPr>
        <w:t>10</w:t>
      </w:r>
      <w:r w:rsidRPr="00EC1859">
        <w:rPr>
          <w:rFonts w:ascii="Times New Roman" w:hAnsi="Times New Roman" w:cs="Times New Roman"/>
        </w:rPr>
        <w:t xml:space="preserve">, 1° dez. 1984. (Carta de </w:t>
      </w:r>
      <w:r>
        <w:rPr>
          <w:rFonts w:ascii="Times New Roman" w:hAnsi="Times New Roman" w:cs="Times New Roman"/>
        </w:rPr>
        <w:t>21</w:t>
      </w:r>
      <w:r w:rsidRPr="00EC1859">
        <w:rPr>
          <w:rFonts w:ascii="Times New Roman" w:hAnsi="Times New Roman" w:cs="Times New Roman"/>
        </w:rPr>
        <w:t>/1</w:t>
      </w:r>
      <w:r>
        <w:rPr>
          <w:rFonts w:ascii="Times New Roman" w:hAnsi="Times New Roman" w:cs="Times New Roman"/>
        </w:rPr>
        <w:t>1</w:t>
      </w:r>
      <w:r w:rsidRPr="00EC1859">
        <w:rPr>
          <w:rFonts w:ascii="Times New Roman" w:hAnsi="Times New Roman" w:cs="Times New Roman"/>
        </w:rPr>
        <w:t>/191</w:t>
      </w:r>
      <w:r>
        <w:rPr>
          <w:rFonts w:ascii="Times New Roman" w:hAnsi="Times New Roman" w:cs="Times New Roman"/>
        </w:rPr>
        <w:t>7</w:t>
      </w:r>
      <w:r w:rsidRPr="00EC1859">
        <w:rPr>
          <w:rFonts w:ascii="Times New Roman" w:hAnsi="Times New Roman" w:cs="Times New Roman"/>
        </w:rPr>
        <w:t>).</w:t>
      </w:r>
    </w:p>
    <w:p w:rsidR="00BA7DA2" w:rsidRDefault="00BA7DA2" w:rsidP="00BA7DA2">
      <w:pPr>
        <w:pStyle w:val="Textodenotaderodap"/>
      </w:pPr>
    </w:p>
  </w:footnote>
  <w:footnote w:id="3">
    <w:p w:rsidR="00915F3B" w:rsidRDefault="00915F3B">
      <w:pPr>
        <w:pStyle w:val="Textodenotaderodap"/>
      </w:pPr>
      <w:r w:rsidRPr="00915F3B">
        <w:rPr>
          <w:rStyle w:val="Refdenotaderodap"/>
          <w:highlight w:val="yellow"/>
        </w:rPr>
        <w:footnoteRef/>
      </w:r>
      <w:r w:rsidRPr="00915F3B">
        <w:rPr>
          <w:highlight w:val="yellow"/>
        </w:rPr>
        <w:t xml:space="preserve"> REFERENCIA DAS TESES</w:t>
      </w:r>
    </w:p>
  </w:footnote>
  <w:footnote w:id="4">
    <w:p w:rsidR="0089156B" w:rsidRDefault="0089156B" w:rsidP="0089156B">
      <w:pPr>
        <w:pStyle w:val="Textodenotaderodap"/>
      </w:pPr>
      <w:r>
        <w:rPr>
          <w:rStyle w:val="Refdenotaderodap"/>
        </w:rPr>
        <w:footnoteRef/>
      </w:r>
      <w:r>
        <w:t xml:space="preserve"> A lista das traduções pode ser encontrada em </w:t>
      </w:r>
      <w:r>
        <w:rPr>
          <w:i/>
        </w:rPr>
        <w:t xml:space="preserve">O amigo escritor, </w:t>
      </w:r>
      <w:r>
        <w:t xml:space="preserve">de Enéas </w:t>
      </w:r>
      <w:proofErr w:type="spellStart"/>
      <w:r>
        <w:t>Athanázio</w:t>
      </w:r>
      <w:proofErr w:type="spellEnd"/>
      <w:r>
        <w:t xml:space="preserve">; entretanto, o biógrafo adverte da incompletude da relação, dadas as dificuldades em localizar tais dados. </w:t>
      </w:r>
    </w:p>
    <w:p w:rsidR="0089156B" w:rsidRPr="00D93FEF" w:rsidRDefault="0089156B" w:rsidP="0089156B">
      <w:pPr>
        <w:pStyle w:val="Textodenotaderodap"/>
      </w:pPr>
      <w:r>
        <w:t xml:space="preserve">Cf. ATHANÁZIO, Enéas. </w:t>
      </w:r>
      <w:r>
        <w:rPr>
          <w:i/>
        </w:rPr>
        <w:t xml:space="preserve">O amigo escrito. </w:t>
      </w:r>
      <w:r>
        <w:t>Florianópolis: Secretaria de Estado da Cultura e do Esporte e Secretaria de Estado da Casa Civil, 1988, 68/9.</w:t>
      </w:r>
    </w:p>
  </w:footnote>
  <w:footnote w:id="5">
    <w:p w:rsidR="0033594F" w:rsidRDefault="0033594F" w:rsidP="00877942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877942">
        <w:rPr>
          <w:rFonts w:ascii="Times New Roman" w:hAnsi="Times New Roman" w:cs="Times New Roman"/>
        </w:rPr>
        <w:t xml:space="preserve">Sílvio Bismarck de Moura Rangel (1869-1929), Gentil </w:t>
      </w:r>
      <w:proofErr w:type="spellStart"/>
      <w:r w:rsidRPr="00877942">
        <w:rPr>
          <w:rFonts w:ascii="Times New Roman" w:hAnsi="Times New Roman" w:cs="Times New Roman"/>
        </w:rPr>
        <w:t>Nelaton</w:t>
      </w:r>
      <w:proofErr w:type="spellEnd"/>
      <w:r w:rsidRPr="00877942">
        <w:rPr>
          <w:rFonts w:ascii="Times New Roman" w:hAnsi="Times New Roman" w:cs="Times New Roman"/>
        </w:rPr>
        <w:t xml:space="preserve"> de Moura Rangel (1871-1953), Lavínia </w:t>
      </w:r>
      <w:proofErr w:type="spellStart"/>
      <w:r w:rsidRPr="00877942">
        <w:rPr>
          <w:rFonts w:ascii="Times New Roman" w:hAnsi="Times New Roman" w:cs="Times New Roman"/>
        </w:rPr>
        <w:t>Paraguassu</w:t>
      </w:r>
      <w:proofErr w:type="spellEnd"/>
      <w:r w:rsidRPr="00877942">
        <w:rPr>
          <w:rFonts w:ascii="Times New Roman" w:hAnsi="Times New Roman" w:cs="Times New Roman"/>
        </w:rPr>
        <w:t xml:space="preserve"> (</w:t>
      </w:r>
      <w:r w:rsidR="00877942" w:rsidRPr="00877942">
        <w:rPr>
          <w:rFonts w:ascii="Times New Roman" w:hAnsi="Times New Roman" w:cs="Times New Roman"/>
        </w:rPr>
        <w:t xml:space="preserve">1872-1970), Georgina </w:t>
      </w:r>
      <w:proofErr w:type="spellStart"/>
      <w:r w:rsidR="00877942" w:rsidRPr="00877942">
        <w:rPr>
          <w:rFonts w:ascii="Times New Roman" w:hAnsi="Times New Roman" w:cs="Times New Roman"/>
        </w:rPr>
        <w:t>Zuleika</w:t>
      </w:r>
      <w:proofErr w:type="spellEnd"/>
      <w:r w:rsidR="00877942" w:rsidRPr="00877942">
        <w:rPr>
          <w:rFonts w:ascii="Times New Roman" w:hAnsi="Times New Roman" w:cs="Times New Roman"/>
        </w:rPr>
        <w:t xml:space="preserve"> de Moura Rangel (1882-1977</w:t>
      </w:r>
      <w:proofErr w:type="gramStart"/>
      <w:r w:rsidR="00877942" w:rsidRPr="00877942">
        <w:rPr>
          <w:rFonts w:ascii="Times New Roman" w:hAnsi="Times New Roman" w:cs="Times New Roman"/>
        </w:rPr>
        <w:t>)José</w:t>
      </w:r>
      <w:proofErr w:type="gramEnd"/>
      <w:r w:rsidR="00877942" w:rsidRPr="00877942">
        <w:rPr>
          <w:rFonts w:ascii="Times New Roman" w:hAnsi="Times New Roman" w:cs="Times New Roman"/>
        </w:rPr>
        <w:t xml:space="preserve"> Godofredo de Moura Rangel (1884-1951), Tancredo </w:t>
      </w:r>
      <w:proofErr w:type="spellStart"/>
      <w:r w:rsidR="00877942" w:rsidRPr="00877942">
        <w:rPr>
          <w:rFonts w:ascii="Times New Roman" w:hAnsi="Times New Roman" w:cs="Times New Roman"/>
        </w:rPr>
        <w:t>Castelar</w:t>
      </w:r>
      <w:proofErr w:type="spellEnd"/>
      <w:r w:rsidR="00877942" w:rsidRPr="00877942">
        <w:rPr>
          <w:rFonts w:ascii="Times New Roman" w:hAnsi="Times New Roman" w:cs="Times New Roman"/>
        </w:rPr>
        <w:t xml:space="preserve"> de Moura Rangel (1887-1888), Sílvia Iracema de Moura Rangel (1889-1928) e Irene </w:t>
      </w:r>
      <w:proofErr w:type="spellStart"/>
      <w:r w:rsidR="00877942" w:rsidRPr="00877942">
        <w:rPr>
          <w:rFonts w:ascii="Times New Roman" w:hAnsi="Times New Roman" w:cs="Times New Roman"/>
        </w:rPr>
        <w:t>Aymoré</w:t>
      </w:r>
      <w:proofErr w:type="spellEnd"/>
      <w:r w:rsidR="00877942" w:rsidRPr="00877942">
        <w:rPr>
          <w:rFonts w:ascii="Times New Roman" w:hAnsi="Times New Roman" w:cs="Times New Roman"/>
        </w:rPr>
        <w:t xml:space="preserve"> de Moura Rangel (1892-?). </w:t>
      </w:r>
    </w:p>
  </w:footnote>
  <w:footnote w:id="6">
    <w:p w:rsidR="0073123B" w:rsidRPr="00C010CF" w:rsidRDefault="0073123B" w:rsidP="0073123B">
      <w:pPr>
        <w:pStyle w:val="Textodenotaderodap"/>
        <w:jc w:val="both"/>
        <w:rPr>
          <w:rFonts w:ascii="Times New Roman" w:hAnsi="Times New Roman" w:cs="Times New Roman"/>
          <w:color w:val="000000" w:themeColor="text1"/>
        </w:rPr>
      </w:pPr>
      <w:r w:rsidRPr="00C010CF">
        <w:rPr>
          <w:rStyle w:val="Refdenotaderodap"/>
          <w:rFonts w:ascii="Times New Roman" w:hAnsi="Times New Roman" w:cs="Times New Roman"/>
          <w:color w:val="000000" w:themeColor="text1"/>
        </w:rPr>
        <w:footnoteRef/>
      </w:r>
      <w:r w:rsidRPr="00C010CF">
        <w:rPr>
          <w:rFonts w:ascii="Times New Roman" w:hAnsi="Times New Roman" w:cs="Times New Roman"/>
          <w:color w:val="000000" w:themeColor="text1"/>
        </w:rPr>
        <w:t xml:space="preserve"> LOBATO, Monteiro. </w:t>
      </w:r>
      <w:r w:rsidRPr="00C010CF">
        <w:rPr>
          <w:rFonts w:ascii="Times New Roman" w:hAnsi="Times New Roman" w:cs="Times New Roman"/>
          <w:i/>
          <w:color w:val="000000" w:themeColor="text1"/>
        </w:rPr>
        <w:t>A barca de Gleyre</w:t>
      </w:r>
      <w:r w:rsidRPr="00C010CF">
        <w:rPr>
          <w:rFonts w:ascii="Times New Roman" w:hAnsi="Times New Roman" w:cs="Times New Roman"/>
          <w:color w:val="000000" w:themeColor="text1"/>
        </w:rPr>
        <w:t>. Ed. cit., p. 42. Carta de São Paulo, 09/12/1903.</w:t>
      </w:r>
    </w:p>
  </w:footnote>
  <w:footnote w:id="7">
    <w:p w:rsidR="00270B49" w:rsidRDefault="00270B49">
      <w:pPr>
        <w:pStyle w:val="Textodenotaderodap"/>
      </w:pPr>
      <w:r>
        <w:rPr>
          <w:rStyle w:val="Refdenotaderodap"/>
        </w:rPr>
        <w:footnoteRef/>
      </w:r>
      <w:r>
        <w:t xml:space="preserve"> Cf. </w:t>
      </w:r>
      <w:r w:rsidRPr="00C010CF">
        <w:rPr>
          <w:rFonts w:ascii="Times New Roman" w:hAnsi="Times New Roman" w:cs="Times New Roman"/>
          <w:color w:val="000000" w:themeColor="text1"/>
        </w:rPr>
        <w:t xml:space="preserve">LOBATO, Monteiro. </w:t>
      </w:r>
      <w:r w:rsidRPr="00C010CF">
        <w:rPr>
          <w:rFonts w:ascii="Times New Roman" w:hAnsi="Times New Roman" w:cs="Times New Roman"/>
          <w:i/>
          <w:color w:val="000000" w:themeColor="text1"/>
        </w:rPr>
        <w:t>A barca de Gleyre</w:t>
      </w:r>
      <w:r>
        <w:rPr>
          <w:rFonts w:ascii="Times New Roman" w:hAnsi="Times New Roman" w:cs="Times New Roman"/>
          <w:color w:val="000000" w:themeColor="text1"/>
        </w:rPr>
        <w:t>. Ed. cit., p. 76</w:t>
      </w:r>
      <w:r w:rsidRPr="00C010CF">
        <w:rPr>
          <w:rFonts w:ascii="Times New Roman" w:hAnsi="Times New Roman" w:cs="Times New Roman"/>
          <w:color w:val="000000" w:themeColor="text1"/>
        </w:rPr>
        <w:t>. Carta de São Paulo, 0</w:t>
      </w:r>
      <w:r>
        <w:rPr>
          <w:rFonts w:ascii="Times New Roman" w:hAnsi="Times New Roman" w:cs="Times New Roman"/>
          <w:color w:val="000000" w:themeColor="text1"/>
        </w:rPr>
        <w:t>7</w:t>
      </w:r>
      <w:r w:rsidRPr="00C010CF">
        <w:rPr>
          <w:rFonts w:ascii="Times New Roman" w:hAnsi="Times New Roman" w:cs="Times New Roman"/>
          <w:color w:val="000000" w:themeColor="text1"/>
        </w:rPr>
        <w:t>/1</w:t>
      </w:r>
      <w:r>
        <w:rPr>
          <w:rFonts w:ascii="Times New Roman" w:hAnsi="Times New Roman" w:cs="Times New Roman"/>
          <w:color w:val="000000" w:themeColor="text1"/>
        </w:rPr>
        <w:t>1/1904</w:t>
      </w:r>
      <w:r w:rsidRPr="00C010CF">
        <w:rPr>
          <w:rFonts w:ascii="Times New Roman" w:hAnsi="Times New Roman" w:cs="Times New Roman"/>
          <w:color w:val="000000" w:themeColor="text1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35636"/>
      <w:docPartObj>
        <w:docPartGallery w:val="Page Numbers (Top of Page)"/>
        <w:docPartUnique/>
      </w:docPartObj>
    </w:sdtPr>
    <w:sdtEndPr/>
    <w:sdtContent>
      <w:p w:rsidR="001718DD" w:rsidRDefault="001718D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CED">
          <w:rPr>
            <w:noProof/>
          </w:rPr>
          <w:t>6</w:t>
        </w:r>
        <w:r>
          <w:fldChar w:fldCharType="end"/>
        </w:r>
      </w:p>
    </w:sdtContent>
  </w:sdt>
  <w:p w:rsidR="001718DD" w:rsidRDefault="001718D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DD"/>
    <w:rsid w:val="001718DD"/>
    <w:rsid w:val="001B57CC"/>
    <w:rsid w:val="00270B49"/>
    <w:rsid w:val="00272D98"/>
    <w:rsid w:val="0033594F"/>
    <w:rsid w:val="00522461"/>
    <w:rsid w:val="00593D35"/>
    <w:rsid w:val="00672B67"/>
    <w:rsid w:val="00723D00"/>
    <w:rsid w:val="0073123B"/>
    <w:rsid w:val="007D3490"/>
    <w:rsid w:val="00877942"/>
    <w:rsid w:val="0089156B"/>
    <w:rsid w:val="00915F3B"/>
    <w:rsid w:val="00996CED"/>
    <w:rsid w:val="009B659A"/>
    <w:rsid w:val="00AD3BB2"/>
    <w:rsid w:val="00B31DF7"/>
    <w:rsid w:val="00B35D73"/>
    <w:rsid w:val="00BA7DA2"/>
    <w:rsid w:val="00BB142F"/>
    <w:rsid w:val="00BC79A0"/>
    <w:rsid w:val="00F6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DD"/>
  </w:style>
  <w:style w:type="paragraph" w:styleId="Ttulo1">
    <w:name w:val="heading 1"/>
    <w:basedOn w:val="Normal"/>
    <w:next w:val="Normal"/>
    <w:link w:val="Ttulo1Char"/>
    <w:uiPriority w:val="9"/>
    <w:qFormat/>
    <w:rsid w:val="0017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5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8DD"/>
  </w:style>
  <w:style w:type="paragraph" w:styleId="Rodap">
    <w:name w:val="footer"/>
    <w:basedOn w:val="Normal"/>
    <w:link w:val="Rodap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8DD"/>
  </w:style>
  <w:style w:type="paragraph" w:customStyle="1" w:styleId="titulo">
    <w:name w:val="titulo"/>
    <w:basedOn w:val="Normal"/>
    <w:rsid w:val="00BA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BA7DA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A7DA2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BA7DA2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1B5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8DD"/>
  </w:style>
  <w:style w:type="paragraph" w:styleId="Ttulo1">
    <w:name w:val="heading 1"/>
    <w:basedOn w:val="Normal"/>
    <w:next w:val="Normal"/>
    <w:link w:val="Ttulo1Char"/>
    <w:uiPriority w:val="9"/>
    <w:qFormat/>
    <w:rsid w:val="0017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5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8DD"/>
  </w:style>
  <w:style w:type="paragraph" w:styleId="Rodap">
    <w:name w:val="footer"/>
    <w:basedOn w:val="Normal"/>
    <w:link w:val="RodapChar"/>
    <w:uiPriority w:val="99"/>
    <w:unhideWhenUsed/>
    <w:rsid w:val="001718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8DD"/>
  </w:style>
  <w:style w:type="paragraph" w:customStyle="1" w:styleId="titulo">
    <w:name w:val="titulo"/>
    <w:basedOn w:val="Normal"/>
    <w:rsid w:val="00BA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BA7DA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BA7DA2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BA7DA2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1B57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FDF36-0507-415C-8253-EFCDEBB8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1195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osmar</dc:creator>
  <cp:lastModifiedBy>osmar</cp:lastModifiedBy>
  <cp:revision>2</cp:revision>
  <dcterms:created xsi:type="dcterms:W3CDTF">2015-12-02T22:13:00Z</dcterms:created>
  <dcterms:modified xsi:type="dcterms:W3CDTF">2015-12-02T22:13:00Z</dcterms:modified>
</cp:coreProperties>
</file>