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723" w:rsidRPr="00E04723" w:rsidRDefault="005875DC" w:rsidP="00E04723">
      <w:pPr>
        <w:jc w:val="both"/>
        <w:rPr>
          <w:rFonts w:ascii="Cambria" w:hAnsi="Cambria"/>
          <w:b/>
          <w:sz w:val="28"/>
          <w:szCs w:val="28"/>
          <w:lang w:val="es-CO"/>
        </w:rPr>
      </w:pPr>
      <w:r>
        <w:rPr>
          <w:rFonts w:ascii="Cambria" w:hAnsi="Cambria"/>
          <w:b/>
          <w:sz w:val="28"/>
          <w:szCs w:val="28"/>
          <w:lang w:val="es-CO"/>
        </w:rPr>
        <w:t>Efecto par</w:t>
      </w:r>
      <w:r w:rsidR="002B3CFD" w:rsidRPr="00E04723">
        <w:rPr>
          <w:rFonts w:ascii="Cambria" w:hAnsi="Cambria"/>
          <w:b/>
          <w:sz w:val="28"/>
          <w:szCs w:val="28"/>
          <w:lang w:val="es-CO"/>
        </w:rPr>
        <w:t xml:space="preserve"> sobre el rendimiento </w:t>
      </w:r>
      <w:r w:rsidR="00E04723" w:rsidRPr="00E04723">
        <w:rPr>
          <w:rFonts w:ascii="Cambria" w:hAnsi="Cambria"/>
          <w:b/>
          <w:sz w:val="28"/>
          <w:szCs w:val="28"/>
          <w:lang w:val="es-CO"/>
        </w:rPr>
        <w:t>académico</w:t>
      </w:r>
      <w:r w:rsidR="002B3CFD" w:rsidRPr="00E04723">
        <w:rPr>
          <w:rFonts w:ascii="Cambria" w:hAnsi="Cambria"/>
          <w:b/>
          <w:sz w:val="28"/>
          <w:szCs w:val="28"/>
          <w:lang w:val="es-CO"/>
        </w:rPr>
        <w:t xml:space="preserve"> de los estudi</w:t>
      </w:r>
      <w:r w:rsidR="00E04723" w:rsidRPr="00E04723">
        <w:rPr>
          <w:rFonts w:ascii="Cambria" w:hAnsi="Cambria"/>
          <w:b/>
          <w:sz w:val="28"/>
          <w:szCs w:val="28"/>
          <w:lang w:val="es-CO"/>
        </w:rPr>
        <w:t>antes de primer semestre de la F</w:t>
      </w:r>
      <w:r w:rsidR="002B3CFD" w:rsidRPr="00E04723">
        <w:rPr>
          <w:rFonts w:ascii="Cambria" w:hAnsi="Cambria"/>
          <w:b/>
          <w:sz w:val="28"/>
          <w:szCs w:val="28"/>
          <w:lang w:val="es-CO"/>
        </w:rPr>
        <w:t xml:space="preserve">acultad de </w:t>
      </w:r>
      <w:r w:rsidR="00E04723" w:rsidRPr="00E04723">
        <w:rPr>
          <w:rFonts w:ascii="Cambria" w:hAnsi="Cambria"/>
          <w:b/>
          <w:sz w:val="28"/>
          <w:szCs w:val="28"/>
          <w:lang w:val="es-CO"/>
        </w:rPr>
        <w:t>E</w:t>
      </w:r>
      <w:r w:rsidR="002B3CFD" w:rsidRPr="00E04723">
        <w:rPr>
          <w:rFonts w:ascii="Cambria" w:hAnsi="Cambria"/>
          <w:b/>
          <w:sz w:val="28"/>
          <w:szCs w:val="28"/>
          <w:lang w:val="es-CO"/>
        </w:rPr>
        <w:t xml:space="preserve">conomía </w:t>
      </w:r>
      <w:r w:rsidR="00E04723" w:rsidRPr="00E04723">
        <w:rPr>
          <w:rFonts w:ascii="Cambria" w:hAnsi="Cambria"/>
          <w:b/>
          <w:sz w:val="28"/>
          <w:szCs w:val="28"/>
          <w:lang w:val="es-CO"/>
        </w:rPr>
        <w:t>en la U</w:t>
      </w:r>
      <w:r w:rsidR="002B3CFD" w:rsidRPr="00E04723">
        <w:rPr>
          <w:rFonts w:ascii="Cambria" w:hAnsi="Cambria"/>
          <w:b/>
          <w:sz w:val="28"/>
          <w:szCs w:val="28"/>
          <w:lang w:val="es-CO"/>
        </w:rPr>
        <w:t>niversidad del Rosario</w:t>
      </w:r>
    </w:p>
    <w:p w:rsidR="002B3CFD" w:rsidRDefault="00E04723">
      <w:pPr>
        <w:rPr>
          <w:rFonts w:ascii="Cambria" w:hAnsi="Cambria"/>
          <w:lang w:val="es-CO"/>
        </w:rPr>
      </w:pPr>
      <w:r w:rsidRPr="002B3CFD">
        <w:rPr>
          <w:rFonts w:ascii="Cambria" w:hAnsi="Cambria"/>
          <w:lang w:val="es-CO"/>
        </w:rPr>
        <w:t xml:space="preserve"> </w:t>
      </w:r>
      <w:r w:rsidR="002B3CFD" w:rsidRPr="002B3CFD">
        <w:rPr>
          <w:rFonts w:ascii="Cambria" w:hAnsi="Cambria"/>
          <w:lang w:val="es-CO"/>
        </w:rPr>
        <w:t>Darwin Cortes y Camila Valencia</w:t>
      </w:r>
    </w:p>
    <w:p w:rsidR="00D441E9" w:rsidRDefault="00D441E9">
      <w:pPr>
        <w:rPr>
          <w:rFonts w:ascii="Cambria" w:hAnsi="Cambria"/>
          <w:lang w:val="es-CO"/>
        </w:rPr>
      </w:pPr>
    </w:p>
    <w:p w:rsidR="004E1404" w:rsidRDefault="00D441E9" w:rsidP="00E04723">
      <w:pPr>
        <w:jc w:val="both"/>
        <w:rPr>
          <w:rFonts w:ascii="Cambria" w:hAnsi="Cambria"/>
          <w:lang w:val="es-CO"/>
        </w:rPr>
      </w:pPr>
      <w:r>
        <w:rPr>
          <w:rFonts w:ascii="Cambria" w:hAnsi="Cambria"/>
          <w:lang w:val="es-CO"/>
        </w:rPr>
        <w:t xml:space="preserve">Uno de los </w:t>
      </w:r>
      <w:r w:rsidR="0016769A">
        <w:rPr>
          <w:rFonts w:ascii="Cambria" w:hAnsi="Cambria"/>
          <w:lang w:val="es-CO"/>
        </w:rPr>
        <w:t xml:space="preserve">objetivos del </w:t>
      </w:r>
      <w:r w:rsidR="002667A0">
        <w:rPr>
          <w:rFonts w:ascii="Cambria" w:hAnsi="Cambria"/>
          <w:lang w:val="es-CO"/>
        </w:rPr>
        <w:t>gobierno es el desarrollo de la economía, este depende de dife</w:t>
      </w:r>
      <w:r w:rsidR="0016769A">
        <w:rPr>
          <w:rFonts w:ascii="Cambria" w:hAnsi="Cambria"/>
          <w:lang w:val="es-CO"/>
        </w:rPr>
        <w:t xml:space="preserve">rentes factores como las instituciones, la infraestructura, la productividad y el capital humano. El capital humano es la calificación de los individuos de la sociedad, se obtiene por medio de </w:t>
      </w:r>
      <w:r>
        <w:rPr>
          <w:rFonts w:ascii="Cambria" w:hAnsi="Cambria"/>
          <w:lang w:val="es-CO"/>
        </w:rPr>
        <w:t>la educación, la experiencia y</w:t>
      </w:r>
      <w:r w:rsidR="0016769A">
        <w:rPr>
          <w:rFonts w:ascii="Cambria" w:hAnsi="Cambria"/>
          <w:lang w:val="es-CO"/>
        </w:rPr>
        <w:t xml:space="preserve"> según Coleman (1960) el capital social entendido como</w:t>
      </w:r>
      <w:r>
        <w:rPr>
          <w:rFonts w:ascii="Cambria" w:hAnsi="Cambria"/>
          <w:lang w:val="es-CO"/>
        </w:rPr>
        <w:t xml:space="preserve"> la red de contactos de los individuos. La red de contactos </w:t>
      </w:r>
      <w:r w:rsidR="0016769A">
        <w:rPr>
          <w:rFonts w:ascii="Cambria" w:hAnsi="Cambria"/>
          <w:lang w:val="es-CO"/>
        </w:rPr>
        <w:t>contiene relaciones de amistad, estudio y trabajo</w:t>
      </w:r>
      <w:r w:rsidR="004E1404">
        <w:rPr>
          <w:rFonts w:ascii="Cambria" w:hAnsi="Cambria"/>
          <w:lang w:val="es-CO"/>
        </w:rPr>
        <w:t>. La literatura ha tratado de responderse como el efecto de pares afecta diferentes aspectos del comportamiento de los individuos ya sea en el ámbito académico, profesional, personal como lo son el consumo de alcohol o de cigarrillo.</w:t>
      </w:r>
    </w:p>
    <w:p w:rsidR="002667A0" w:rsidRDefault="0016769A" w:rsidP="00E04723">
      <w:pPr>
        <w:jc w:val="both"/>
        <w:rPr>
          <w:rFonts w:ascii="Cambria" w:hAnsi="Cambria"/>
          <w:lang w:val="es-CO"/>
        </w:rPr>
      </w:pPr>
      <w:r>
        <w:rPr>
          <w:rFonts w:ascii="Cambria" w:hAnsi="Cambria"/>
          <w:lang w:val="es-CO"/>
        </w:rPr>
        <w:t>E</w:t>
      </w:r>
      <w:r>
        <w:rPr>
          <w:rFonts w:ascii="Cambria" w:hAnsi="Cambria"/>
          <w:lang w:val="es-CO"/>
        </w:rPr>
        <w:t>s importante analizar si hay efectos de los pares para poder direccionar políticas públicas que ayuden a mejorar el nivel educativo de la educación</w:t>
      </w:r>
      <w:r>
        <w:rPr>
          <w:rFonts w:ascii="Cambria" w:hAnsi="Cambria"/>
          <w:lang w:val="es-CO"/>
        </w:rPr>
        <w:t xml:space="preserve"> mediante la </w:t>
      </w:r>
      <w:r w:rsidR="00FC6BAE">
        <w:rPr>
          <w:rFonts w:ascii="Cambria" w:hAnsi="Cambria"/>
          <w:lang w:val="es-CO"/>
        </w:rPr>
        <w:t>integración</w:t>
      </w:r>
      <w:r>
        <w:rPr>
          <w:rFonts w:ascii="Cambria" w:hAnsi="Cambria"/>
          <w:lang w:val="es-CO"/>
        </w:rPr>
        <w:t xml:space="preserve">  de la sociedad y </w:t>
      </w:r>
      <w:r w:rsidR="00FC6BAE">
        <w:rPr>
          <w:rFonts w:ascii="Cambria" w:hAnsi="Cambria"/>
          <w:lang w:val="es-CO"/>
        </w:rPr>
        <w:t>así</w:t>
      </w:r>
      <w:r>
        <w:rPr>
          <w:rFonts w:ascii="Cambria" w:hAnsi="Cambria"/>
          <w:lang w:val="es-CO"/>
        </w:rPr>
        <w:t xml:space="preserve"> cerrar brechas de desigualdad. </w:t>
      </w:r>
      <w:r w:rsidR="00AC6F24">
        <w:rPr>
          <w:rFonts w:ascii="Cambria" w:hAnsi="Cambria"/>
          <w:lang w:val="es-CO"/>
        </w:rPr>
        <w:t xml:space="preserve">En este caso analizaremos los efectos pares en la Universidad del Rosario sobre el rendimiento </w:t>
      </w:r>
      <w:r w:rsidR="002667A0">
        <w:rPr>
          <w:rFonts w:ascii="Cambria" w:hAnsi="Cambria"/>
          <w:lang w:val="es-CO"/>
        </w:rPr>
        <w:t>académico</w:t>
      </w:r>
      <w:r w:rsidR="00AC6F24">
        <w:rPr>
          <w:rFonts w:ascii="Cambria" w:hAnsi="Cambria"/>
          <w:lang w:val="es-CO"/>
        </w:rPr>
        <w:t xml:space="preserve"> de los estudiantes y así  analizar la </w:t>
      </w:r>
      <w:r w:rsidR="00FC6BAE">
        <w:rPr>
          <w:rFonts w:ascii="Cambria" w:hAnsi="Cambria"/>
          <w:lang w:val="es-CO"/>
        </w:rPr>
        <w:t xml:space="preserve">integración que pueden generar </w:t>
      </w:r>
      <w:r w:rsidR="00AC6F24">
        <w:rPr>
          <w:rFonts w:ascii="Cambria" w:hAnsi="Cambria"/>
          <w:lang w:val="es-CO"/>
        </w:rPr>
        <w:t xml:space="preserve">programas como ser pilo paga, donde el gobierno financia a estudiantes de escasos recursos </w:t>
      </w:r>
      <w:r w:rsidR="002667A0">
        <w:rPr>
          <w:rFonts w:ascii="Cambria" w:hAnsi="Cambria"/>
          <w:lang w:val="es-CO"/>
        </w:rPr>
        <w:t>para que estudien en universidad privadas de Colombia.</w:t>
      </w:r>
    </w:p>
    <w:p w:rsidR="002B3CFD" w:rsidRDefault="00340F24" w:rsidP="00E04723">
      <w:pPr>
        <w:jc w:val="both"/>
        <w:rPr>
          <w:rFonts w:ascii="Cambria" w:hAnsi="Cambria"/>
          <w:lang w:val="es-CO"/>
        </w:rPr>
      </w:pPr>
      <w:r>
        <w:rPr>
          <w:rFonts w:ascii="Cambria" w:hAnsi="Cambria"/>
          <w:lang w:val="es-CO"/>
        </w:rPr>
        <w:t>Datos</w:t>
      </w:r>
    </w:p>
    <w:p w:rsidR="00F50FB0" w:rsidRDefault="00EA1311" w:rsidP="00E04723">
      <w:pPr>
        <w:jc w:val="both"/>
        <w:rPr>
          <w:rFonts w:ascii="Cambria" w:hAnsi="Cambria"/>
          <w:lang w:val="es-CO"/>
        </w:rPr>
      </w:pPr>
      <w:r>
        <w:rPr>
          <w:rFonts w:ascii="Cambria" w:hAnsi="Cambria"/>
          <w:lang w:val="es-CO"/>
        </w:rPr>
        <w:t xml:space="preserve">Para poder analizar los </w:t>
      </w:r>
      <w:r w:rsidR="00FC6BAE">
        <w:rPr>
          <w:rFonts w:ascii="Cambria" w:hAnsi="Cambria"/>
          <w:lang w:val="es-CO"/>
        </w:rPr>
        <w:t xml:space="preserve"> pares </w:t>
      </w:r>
      <w:r>
        <w:rPr>
          <w:rFonts w:ascii="Cambria" w:hAnsi="Cambria"/>
          <w:lang w:val="es-CO"/>
        </w:rPr>
        <w:t xml:space="preserve"> se tiene la información del rendimiento académico</w:t>
      </w:r>
      <w:r w:rsidR="00FC6BAE">
        <w:rPr>
          <w:rFonts w:ascii="Cambria" w:hAnsi="Cambria"/>
          <w:lang w:val="es-CO"/>
        </w:rPr>
        <w:t>,</w:t>
      </w:r>
      <w:r>
        <w:rPr>
          <w:rFonts w:ascii="Cambria" w:hAnsi="Cambria"/>
          <w:lang w:val="es-CO"/>
        </w:rPr>
        <w:t xml:space="preserve"> </w:t>
      </w:r>
      <w:r w:rsidR="00FC6BAE">
        <w:rPr>
          <w:rFonts w:ascii="Cambria" w:hAnsi="Cambria"/>
          <w:lang w:val="es-CO"/>
        </w:rPr>
        <w:t>de</w:t>
      </w:r>
      <w:r>
        <w:rPr>
          <w:rFonts w:ascii="Cambria" w:hAnsi="Cambria"/>
          <w:lang w:val="es-CO"/>
        </w:rPr>
        <w:t xml:space="preserve"> </w:t>
      </w:r>
      <w:r w:rsidR="00FC6BAE">
        <w:rPr>
          <w:rFonts w:ascii="Cambria" w:hAnsi="Cambria"/>
          <w:lang w:val="es-CO"/>
        </w:rPr>
        <w:t xml:space="preserve">180 </w:t>
      </w:r>
      <w:r>
        <w:rPr>
          <w:rFonts w:ascii="Cambria" w:hAnsi="Cambria"/>
          <w:lang w:val="es-CO"/>
        </w:rPr>
        <w:t>estudiantes</w:t>
      </w:r>
      <w:r w:rsidR="00FC6BAE">
        <w:rPr>
          <w:rFonts w:ascii="Cambria" w:hAnsi="Cambria"/>
          <w:lang w:val="es-CO"/>
        </w:rPr>
        <w:t xml:space="preserve"> de primer semestre de la facultad de economía, </w:t>
      </w:r>
      <w:r>
        <w:rPr>
          <w:rFonts w:ascii="Cambria" w:hAnsi="Cambria"/>
          <w:lang w:val="es-CO"/>
        </w:rPr>
        <w:t xml:space="preserve">medido por su </w:t>
      </w:r>
      <w:r w:rsidR="00F50FB0">
        <w:rPr>
          <w:rFonts w:ascii="Cambria" w:hAnsi="Cambria"/>
          <w:lang w:val="es-CO"/>
        </w:rPr>
        <w:t>promedio</w:t>
      </w:r>
      <w:r>
        <w:rPr>
          <w:rFonts w:ascii="Cambria" w:hAnsi="Cambria"/>
          <w:lang w:val="es-CO"/>
        </w:rPr>
        <w:t xml:space="preserve"> ponderado del semestre, </w:t>
      </w:r>
      <w:r w:rsidR="00F50FB0">
        <w:rPr>
          <w:rFonts w:ascii="Cambria" w:hAnsi="Cambria"/>
          <w:lang w:val="es-CO"/>
        </w:rPr>
        <w:t>también</w:t>
      </w:r>
      <w:r>
        <w:rPr>
          <w:rFonts w:ascii="Cambria" w:hAnsi="Cambria"/>
          <w:lang w:val="es-CO"/>
        </w:rPr>
        <w:t xml:space="preserve"> se tiene </w:t>
      </w:r>
      <w:r w:rsidR="00F50FB0">
        <w:rPr>
          <w:rFonts w:ascii="Cambria" w:hAnsi="Cambria"/>
          <w:lang w:val="es-CO"/>
        </w:rPr>
        <w:t xml:space="preserve">las notas de cada uno de los estudiantes durante el semestre de los cursos conjuntos. Además tenemos el rendimiento académico del estudiante en el colegio medido por la prueba Saber 11 y el de sus compañeros de curso del colegio.  </w:t>
      </w:r>
    </w:p>
    <w:p w:rsidR="00E62E0E" w:rsidRDefault="00F50FB0" w:rsidP="00E04723">
      <w:pPr>
        <w:jc w:val="both"/>
        <w:rPr>
          <w:rFonts w:ascii="Cambria" w:hAnsi="Cambria"/>
          <w:lang w:val="es-CO"/>
        </w:rPr>
      </w:pPr>
      <w:r>
        <w:rPr>
          <w:rFonts w:ascii="Cambria" w:hAnsi="Cambria"/>
          <w:lang w:val="es-CO"/>
        </w:rPr>
        <w:t xml:space="preserve">Se </w:t>
      </w:r>
      <w:r w:rsidR="00E62E0E">
        <w:rPr>
          <w:rFonts w:ascii="Cambria" w:hAnsi="Cambria"/>
          <w:lang w:val="es-CO"/>
        </w:rPr>
        <w:t>realizó</w:t>
      </w:r>
      <w:r>
        <w:rPr>
          <w:rFonts w:ascii="Cambria" w:hAnsi="Cambria"/>
          <w:lang w:val="es-CO"/>
        </w:rPr>
        <w:t xml:space="preserve"> una encuesta a final del periodo, donde los estudiantes especificaban cual era la red de estudio, la red de las actividades sociales (fiesta, teatro, cine, </w:t>
      </w:r>
      <w:r w:rsidR="00C55094">
        <w:rPr>
          <w:rFonts w:ascii="Cambria" w:hAnsi="Cambria"/>
          <w:lang w:val="es-CO"/>
        </w:rPr>
        <w:t>etc.</w:t>
      </w:r>
      <w:r>
        <w:rPr>
          <w:rFonts w:ascii="Cambria" w:hAnsi="Cambria"/>
          <w:lang w:val="es-CO"/>
        </w:rPr>
        <w:t>) Con esta encuesta se puede modelar la red de cada uno de los estudiantes</w:t>
      </w:r>
      <w:r w:rsidR="00C55094">
        <w:rPr>
          <w:rFonts w:ascii="Cambria" w:hAnsi="Cambria"/>
          <w:lang w:val="es-CO"/>
        </w:rPr>
        <w:t>. Además se cuenta con</w:t>
      </w:r>
      <w:r>
        <w:rPr>
          <w:rFonts w:ascii="Cambria" w:hAnsi="Cambria"/>
          <w:lang w:val="es-CO"/>
        </w:rPr>
        <w:t xml:space="preserve"> una serie de variables socioeconómicas</w:t>
      </w:r>
      <w:r w:rsidR="00E62E0E">
        <w:rPr>
          <w:rFonts w:ascii="Cambria" w:hAnsi="Cambria"/>
          <w:lang w:val="es-CO"/>
        </w:rPr>
        <w:t xml:space="preserve"> que se obtienen de la inscripción al Saber Pro y de las encuestas hechas por la facultad.</w:t>
      </w:r>
    </w:p>
    <w:p w:rsidR="002B3CFD" w:rsidRDefault="002B3CFD" w:rsidP="00E62E0E">
      <w:pPr>
        <w:tabs>
          <w:tab w:val="left" w:pos="2370"/>
        </w:tabs>
        <w:jc w:val="both"/>
        <w:rPr>
          <w:rFonts w:ascii="Cambria" w:hAnsi="Cambria"/>
          <w:lang w:val="es-CO"/>
        </w:rPr>
      </w:pPr>
      <w:r>
        <w:rPr>
          <w:rFonts w:ascii="Cambria" w:hAnsi="Cambria"/>
          <w:lang w:val="es-CO"/>
        </w:rPr>
        <w:t xml:space="preserve">Estrategia </w:t>
      </w:r>
      <w:r w:rsidR="00E62E0E">
        <w:rPr>
          <w:rFonts w:ascii="Cambria" w:hAnsi="Cambria"/>
          <w:lang w:val="es-CO"/>
        </w:rPr>
        <w:t>Empírica</w:t>
      </w:r>
      <w:r w:rsidR="00E62E0E">
        <w:rPr>
          <w:rFonts w:ascii="Cambria" w:hAnsi="Cambria"/>
          <w:lang w:val="es-CO"/>
        </w:rPr>
        <w:tab/>
      </w:r>
    </w:p>
    <w:p w:rsidR="00F63F73" w:rsidRDefault="00F63F73" w:rsidP="00E62E0E">
      <w:pPr>
        <w:tabs>
          <w:tab w:val="left" w:pos="2370"/>
        </w:tabs>
        <w:jc w:val="both"/>
        <w:rPr>
          <w:rFonts w:ascii="Cambria" w:hAnsi="Cambria"/>
          <w:lang w:val="es-CO"/>
        </w:rPr>
      </w:pPr>
      <w:r>
        <w:rPr>
          <w:rFonts w:ascii="Cambria" w:hAnsi="Cambria"/>
          <w:lang w:val="es-CO"/>
        </w:rPr>
        <w:t>Los enfoques estándar son análisis observacionales, los cuales pueden presentar diferentes problemas como lo explica O´Malley (2014) : (1) Sesgo de selección debido a una asignación no aleatoria del tratamiento, (2) problema en las redes por agrupación por clústeres relativamente homogéneos y (3) causas inobservables que afectan la conformación de las redes. La presencia de estos fenómenos produce problemas de endogeneidad</w:t>
      </w:r>
      <w:r w:rsidR="00397F4A">
        <w:rPr>
          <w:rFonts w:ascii="Cambria" w:hAnsi="Cambria"/>
          <w:lang w:val="es-CO"/>
        </w:rPr>
        <w:t xml:space="preserve"> por esta razón en el este estudio hacemos inferencia causal por medio de variables instrumentales.</w:t>
      </w:r>
    </w:p>
    <w:p w:rsidR="00397F4A" w:rsidRDefault="00397F4A" w:rsidP="00E62E0E">
      <w:pPr>
        <w:tabs>
          <w:tab w:val="left" w:pos="2370"/>
        </w:tabs>
        <w:jc w:val="both"/>
        <w:rPr>
          <w:rFonts w:ascii="Cambria" w:hAnsi="Cambria"/>
          <w:lang w:val="es-CO"/>
        </w:rPr>
      </w:pPr>
      <w:r>
        <w:rPr>
          <w:rFonts w:ascii="Cambria" w:hAnsi="Cambria"/>
          <w:lang w:val="es-CO"/>
        </w:rPr>
        <w:t>La literatura que usa variables instrumentales para identificar efe</w:t>
      </w:r>
      <w:r w:rsidR="0070060D">
        <w:rPr>
          <w:rFonts w:ascii="Cambria" w:hAnsi="Cambria"/>
          <w:lang w:val="es-CO"/>
        </w:rPr>
        <w:t xml:space="preserve">ctos pares es bastante limitada, </w:t>
      </w:r>
      <w:r w:rsidR="005875DC">
        <w:rPr>
          <w:rFonts w:ascii="Cambria" w:hAnsi="Cambria"/>
          <w:lang w:val="es-CO"/>
        </w:rPr>
        <w:t xml:space="preserve">Sacerdote (2001) uso el índice (ACA) como medida de habilidad para ver los efectos pares sobre el rendimiento académico. </w:t>
      </w:r>
      <w:r w:rsidR="0070060D">
        <w:rPr>
          <w:rFonts w:ascii="Cambria" w:hAnsi="Cambria"/>
          <w:lang w:val="es-CO"/>
        </w:rPr>
        <w:t xml:space="preserve">Angrist y Lang (2004) uso el número de los estudiantes con desventajas transferidos para predecir sus efectos sobre el rendimiento de los estudiantes de los colegios a los que ellos llegaban. </w:t>
      </w:r>
      <w:r w:rsidR="00B72D41">
        <w:rPr>
          <w:rFonts w:ascii="Cambria" w:hAnsi="Cambria"/>
          <w:lang w:val="es-CO"/>
        </w:rPr>
        <w:t xml:space="preserve">Bramoulle (2009) argumenta que cuando hay una triada </w:t>
      </w:r>
      <w:r w:rsidR="0034208F">
        <w:rPr>
          <w:rFonts w:ascii="Cambria" w:hAnsi="Cambria"/>
          <w:lang w:val="es-CO"/>
        </w:rPr>
        <w:t>intransitiva</w:t>
      </w:r>
      <w:bookmarkStart w:id="0" w:name="_GoBack"/>
      <w:bookmarkEnd w:id="0"/>
      <w:r w:rsidR="00B72D41">
        <w:rPr>
          <w:rFonts w:ascii="Cambria" w:hAnsi="Cambria"/>
          <w:lang w:val="es-CO"/>
        </w:rPr>
        <w:t xml:space="preserve">, el outcome de uno de los lados de la triada sirve como instrumento para ver el efecto </w:t>
      </w:r>
      <w:r w:rsidR="00B72D41">
        <w:rPr>
          <w:rFonts w:ascii="Cambria" w:hAnsi="Cambria"/>
          <w:lang w:val="es-CO"/>
        </w:rPr>
        <w:lastRenderedPageBreak/>
        <w:t xml:space="preserve">entre el individuo del centro y el individuo del otro lado. Zhang (2009) uso la medida de nuevos pares como instrumento para identificar el efecto par en el rendimiento académico. </w:t>
      </w:r>
      <w:r w:rsidR="001D4F35">
        <w:rPr>
          <w:rFonts w:ascii="Cambria" w:hAnsi="Cambria"/>
          <w:lang w:val="es-CO"/>
        </w:rPr>
        <w:t xml:space="preserve">O´Malley (2014) usa alelos genéticos para estimar el efecto par en el peso de los individuos. </w:t>
      </w:r>
      <w:r w:rsidR="0037759A">
        <w:rPr>
          <w:rFonts w:ascii="Cambria" w:hAnsi="Cambria"/>
          <w:lang w:val="es-CO"/>
        </w:rPr>
        <w:t>An (2014) usa como instrumento el status y la posición frente a fumar de los parientes para identificar el efecto par en fumar.</w:t>
      </w:r>
    </w:p>
    <w:p w:rsidR="0037759A" w:rsidRDefault="0037759A" w:rsidP="00E62E0E">
      <w:pPr>
        <w:tabs>
          <w:tab w:val="left" w:pos="2370"/>
        </w:tabs>
        <w:jc w:val="both"/>
        <w:rPr>
          <w:rFonts w:ascii="Cambria" w:hAnsi="Cambria"/>
          <w:lang w:val="es-CO"/>
        </w:rPr>
      </w:pPr>
      <w:r>
        <w:rPr>
          <w:rFonts w:ascii="Cambria" w:hAnsi="Cambria"/>
          <w:lang w:val="es-CO"/>
        </w:rPr>
        <w:t>El instrumento que usamos en este trabajo es el promedio de la calificación del Saber 11 de los comp</w:t>
      </w:r>
      <w:r w:rsidR="007D755C">
        <w:rPr>
          <w:rFonts w:ascii="Cambria" w:hAnsi="Cambria"/>
          <w:lang w:val="es-CO"/>
        </w:rPr>
        <w:t xml:space="preserve">añeros del colegio de la red </w:t>
      </w:r>
      <w:r>
        <w:rPr>
          <w:rFonts w:ascii="Cambria" w:hAnsi="Cambria"/>
          <w:lang w:val="es-CO"/>
        </w:rPr>
        <w:t>de estudio en la universidad para cada individuo.</w:t>
      </w:r>
    </w:p>
    <w:p w:rsidR="00A64D4D" w:rsidRDefault="00A64D4D" w:rsidP="00E04723">
      <w:pPr>
        <w:jc w:val="both"/>
        <w:rPr>
          <w:rFonts w:ascii="Cambria" w:eastAsiaTheme="minorEastAsia" w:hAnsi="Cambria"/>
          <w:lang w:val="es-CO"/>
        </w:rPr>
      </w:pPr>
      <w:r>
        <w:rPr>
          <w:rFonts w:ascii="Cambria" w:eastAsiaTheme="minorEastAsia" w:hAnsi="Cambria"/>
          <w:lang w:val="es-CO"/>
        </w:rPr>
        <w:t>Primera Etapa</w:t>
      </w:r>
    </w:p>
    <w:p w:rsidR="00F26588" w:rsidRDefault="00A64D4D" w:rsidP="00E04723">
      <w:pPr>
        <w:jc w:val="both"/>
        <w:rPr>
          <w:rFonts w:ascii="Cambria" w:eastAsiaTheme="minorEastAsia" w:hAnsi="Cambria"/>
          <w:lang w:val="es-CO"/>
        </w:rPr>
      </w:pPr>
      <m:oMathPara>
        <m:oMath>
          <m:sSub>
            <m:sSubPr>
              <m:ctrlPr>
                <w:rPr>
                  <w:rFonts w:ascii="Cambria Math" w:hAnsi="Cambria Math"/>
                  <w:i/>
                  <w:lang w:val="es-CO"/>
                </w:rPr>
              </m:ctrlPr>
            </m:sSubPr>
            <m:e>
              <m:r>
                <w:rPr>
                  <w:rFonts w:ascii="Cambria Math" w:hAnsi="Cambria Math"/>
                  <w:lang w:val="es-CO"/>
                </w:rPr>
                <m:t>Ren</m:t>
              </m:r>
            </m:e>
            <m:sub>
              <m:r>
                <w:rPr>
                  <w:rFonts w:ascii="Cambria Math" w:hAnsi="Cambria Math"/>
                  <w:lang w:val="es-CO"/>
                </w:rPr>
                <m:t>j</m:t>
              </m:r>
            </m:sub>
          </m:sSub>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0</m:t>
              </m:r>
            </m:sub>
          </m:sSub>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1</m:t>
              </m:r>
            </m:sub>
          </m:sSub>
          <m:sSub>
            <m:sSubPr>
              <m:ctrlPr>
                <w:rPr>
                  <w:rFonts w:ascii="Cambria Math" w:hAnsi="Cambria Math"/>
                  <w:i/>
                  <w:lang w:val="es-CO"/>
                </w:rPr>
              </m:ctrlPr>
            </m:sSubPr>
            <m:e>
              <m:r>
                <w:rPr>
                  <w:rFonts w:ascii="Cambria Math" w:hAnsi="Cambria Math"/>
                  <w:lang w:val="es-CO"/>
                </w:rPr>
                <m:t>Saber11</m:t>
              </m:r>
            </m:e>
            <m:sub>
              <m:r>
                <w:rPr>
                  <w:rFonts w:ascii="Cambria Math" w:hAnsi="Cambria Math"/>
                  <w:lang w:val="es-CO"/>
                </w:rPr>
                <m:t>-j</m:t>
              </m:r>
            </m:sub>
          </m:sSub>
        </m:oMath>
      </m:oMathPara>
    </w:p>
    <w:p w:rsidR="002B3CFD" w:rsidRPr="00244025" w:rsidRDefault="00F26588" w:rsidP="00E04723">
      <w:pPr>
        <w:jc w:val="both"/>
        <w:rPr>
          <w:rFonts w:ascii="Cambria" w:eastAsiaTheme="minorEastAsia" w:hAnsi="Cambria"/>
          <w:lang w:val="es-CO"/>
        </w:rPr>
      </w:pPr>
      <m:oMathPara>
        <m:oMath>
          <m:sSub>
            <m:sSubPr>
              <m:ctrlPr>
                <w:rPr>
                  <w:rFonts w:ascii="Cambria Math" w:hAnsi="Cambria Math"/>
                  <w:i/>
                  <w:lang w:val="es-CO"/>
                </w:rPr>
              </m:ctrlPr>
            </m:sSubPr>
            <m:e>
              <m:acc>
                <m:accPr>
                  <m:ctrlPr>
                    <w:rPr>
                      <w:rFonts w:ascii="Cambria Math" w:hAnsi="Cambria Math"/>
                      <w:i/>
                      <w:lang w:val="es-CO"/>
                    </w:rPr>
                  </m:ctrlPr>
                </m:accPr>
                <m:e>
                  <m:r>
                    <w:rPr>
                      <w:rFonts w:ascii="Cambria Math" w:hAnsi="Cambria Math"/>
                      <w:lang w:val="es-CO"/>
                    </w:rPr>
                    <m:t>Ren</m:t>
                  </m:r>
                </m:e>
              </m:acc>
            </m:e>
            <m:sub>
              <m:r>
                <w:rPr>
                  <w:rFonts w:ascii="Cambria Math" w:hAnsi="Cambria Math"/>
                  <w:lang w:val="es-CO"/>
                </w:rPr>
                <m:t xml:space="preserve">j </m:t>
              </m:r>
            </m:sub>
          </m:sSub>
          <m:r>
            <w:rPr>
              <w:rFonts w:ascii="Cambria Math" w:hAnsi="Cambria Math"/>
              <w:lang w:val="es-CO"/>
            </w:rPr>
            <m:t xml:space="preserve">= </m:t>
          </m:r>
          <m:acc>
            <m:accPr>
              <m:ctrlPr>
                <w:rPr>
                  <w:rFonts w:ascii="Cambria Math" w:hAnsi="Cambria Math"/>
                  <w:i/>
                  <w:lang w:val="es-CO"/>
                </w:rPr>
              </m:ctrlPr>
            </m:accPr>
            <m:e>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1</m:t>
                  </m:r>
                </m:sub>
              </m:sSub>
            </m:e>
          </m:acc>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Saber11</m:t>
              </m:r>
            </m:e>
            <m:sub>
              <m:r>
                <w:rPr>
                  <w:rFonts w:ascii="Cambria Math" w:hAnsi="Cambria Math"/>
                  <w:lang w:val="es-CO"/>
                </w:rPr>
                <m:t>-j</m:t>
              </m:r>
            </m:sub>
          </m:sSub>
        </m:oMath>
      </m:oMathPara>
    </w:p>
    <w:p w:rsidR="00244025" w:rsidRDefault="00244025" w:rsidP="00E04723">
      <w:pPr>
        <w:jc w:val="both"/>
        <w:rPr>
          <w:rFonts w:ascii="Cambria" w:eastAsiaTheme="minorEastAsia" w:hAnsi="Cambria"/>
          <w:lang w:val="es-CO"/>
        </w:rPr>
      </w:pPr>
      <w:r>
        <w:rPr>
          <w:rFonts w:ascii="Cambria" w:eastAsiaTheme="minorEastAsia" w:hAnsi="Cambria"/>
          <w:lang w:val="es-CO"/>
        </w:rPr>
        <w:t>Segunda Etapa</w:t>
      </w:r>
    </w:p>
    <w:p w:rsidR="00244025" w:rsidRDefault="00244025" w:rsidP="00244025">
      <w:pPr>
        <w:tabs>
          <w:tab w:val="left" w:pos="2370"/>
        </w:tabs>
        <w:jc w:val="both"/>
        <w:rPr>
          <w:rFonts w:ascii="Cambria" w:hAnsi="Cambria"/>
          <w:lang w:val="es-CO"/>
        </w:rPr>
      </w:pPr>
    </w:p>
    <w:p w:rsidR="00244025" w:rsidRPr="00A64D4D" w:rsidRDefault="00244025" w:rsidP="00244025">
      <w:pPr>
        <w:jc w:val="both"/>
        <w:rPr>
          <w:rFonts w:ascii="Cambria" w:eastAsiaTheme="minorEastAsia" w:hAnsi="Cambria"/>
          <w:lang w:val="es-CO"/>
        </w:rPr>
      </w:pPr>
      <m:oMathPara>
        <m:oMath>
          <m:sSub>
            <m:sSubPr>
              <m:ctrlPr>
                <w:rPr>
                  <w:rFonts w:ascii="Cambria Math" w:hAnsi="Cambria Math"/>
                  <w:i/>
                  <w:lang w:val="es-CO"/>
                </w:rPr>
              </m:ctrlPr>
            </m:sSubPr>
            <m:e>
              <m:r>
                <w:rPr>
                  <w:rFonts w:ascii="Cambria Math" w:hAnsi="Cambria Math"/>
                  <w:lang w:val="es-CO"/>
                </w:rPr>
                <m:t>Ren</m:t>
              </m:r>
            </m:e>
            <m:sub>
              <m:r>
                <w:rPr>
                  <w:rFonts w:ascii="Cambria Math" w:hAnsi="Cambria Math"/>
                  <w:lang w:val="es-CO"/>
                </w:rPr>
                <m:t>i</m:t>
              </m:r>
            </m:sub>
          </m:sSub>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0</m:t>
              </m:r>
            </m:sub>
          </m:sSub>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1</m:t>
              </m:r>
            </m:sub>
          </m:sSub>
          <m:sSub>
            <m:sSubPr>
              <m:ctrlPr>
                <w:rPr>
                  <w:rFonts w:ascii="Cambria Math" w:hAnsi="Cambria Math"/>
                  <w:i/>
                  <w:lang w:val="es-CO"/>
                </w:rPr>
              </m:ctrlPr>
            </m:sSubPr>
            <m:e>
              <m:acc>
                <m:accPr>
                  <m:ctrlPr>
                    <w:rPr>
                      <w:rFonts w:ascii="Cambria Math" w:hAnsi="Cambria Math"/>
                      <w:i/>
                      <w:lang w:val="es-CO"/>
                    </w:rPr>
                  </m:ctrlPr>
                </m:accPr>
                <m:e>
                  <m:r>
                    <w:rPr>
                      <w:rFonts w:ascii="Cambria Math" w:hAnsi="Cambria Math"/>
                      <w:lang w:val="es-CO"/>
                    </w:rPr>
                    <m:t>Ren</m:t>
                  </m:r>
                </m:e>
              </m:acc>
            </m:e>
            <m:sub>
              <m:r>
                <w:rPr>
                  <w:rFonts w:ascii="Cambria Math" w:hAnsi="Cambria Math"/>
                  <w:lang w:val="es-CO"/>
                </w:rPr>
                <m:t xml:space="preserve">j </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2</m:t>
              </m:r>
            </m:sub>
          </m:sSub>
          <m:sSub>
            <m:sSubPr>
              <m:ctrlPr>
                <w:rPr>
                  <w:rFonts w:ascii="Cambria Math" w:hAnsi="Cambria Math"/>
                  <w:i/>
                  <w:lang w:val="es-CO"/>
                </w:rPr>
              </m:ctrlPr>
            </m:sSubPr>
            <m:e>
              <m:r>
                <w:rPr>
                  <w:rFonts w:ascii="Cambria Math" w:hAnsi="Cambria Math"/>
                  <w:lang w:val="es-CO"/>
                </w:rPr>
                <m:t>Saber11</m:t>
              </m:r>
            </m:e>
            <m:sub>
              <m:r>
                <w:rPr>
                  <w:rFonts w:ascii="Cambria Math" w:hAnsi="Cambria Math"/>
                  <w:lang w:val="es-CO"/>
                </w:rPr>
                <m:t>i</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3</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α</m:t>
              </m:r>
            </m:e>
            <m:sub>
              <m:r>
                <w:rPr>
                  <w:rFonts w:ascii="Cambria Math" w:hAnsi="Cambria Math"/>
                  <w:lang w:val="es-CO"/>
                </w:rPr>
                <m:t>4</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j</m:t>
              </m:r>
            </m:sub>
          </m:sSub>
          <m:r>
            <w:rPr>
              <w:rFonts w:ascii="Cambria Math" w:hAnsi="Cambria Math"/>
              <w:lang w:val="es-CO"/>
            </w:rPr>
            <m:t>+u</m:t>
          </m:r>
        </m:oMath>
      </m:oMathPara>
    </w:p>
    <w:p w:rsidR="00244025" w:rsidRPr="00F26588" w:rsidRDefault="00244025" w:rsidP="00E04723">
      <w:pPr>
        <w:jc w:val="both"/>
        <w:rPr>
          <w:rFonts w:ascii="Cambria" w:eastAsiaTheme="minorEastAsia" w:hAnsi="Cambria"/>
          <w:lang w:val="es-CO"/>
        </w:rPr>
      </w:pPr>
    </w:p>
    <w:p w:rsidR="00F26588" w:rsidRDefault="00F26588" w:rsidP="00E04723">
      <w:pPr>
        <w:jc w:val="both"/>
        <w:rPr>
          <w:rFonts w:ascii="Cambria" w:eastAsiaTheme="minorEastAsia" w:hAnsi="Cambria"/>
          <w:lang w:val="es-CO"/>
        </w:rPr>
      </w:pPr>
    </w:p>
    <w:p w:rsidR="007D755C" w:rsidRDefault="007D755C" w:rsidP="00E04723">
      <w:pPr>
        <w:jc w:val="both"/>
        <w:rPr>
          <w:rFonts w:ascii="Cambria" w:eastAsiaTheme="minorEastAsia" w:hAnsi="Cambria"/>
          <w:lang w:val="es-CO"/>
        </w:rPr>
      </w:pPr>
      <w:r>
        <w:rPr>
          <w:rFonts w:ascii="Cambria" w:eastAsiaTheme="minorEastAsia" w:hAnsi="Cambria"/>
          <w:lang w:val="es-CO"/>
        </w:rPr>
        <w:t xml:space="preserve">En la ecuación (1) se analiza los efectos que tiene el rendimiento de mi par </w:t>
      </w:r>
      <m:oMath>
        <m:sSub>
          <m:sSubPr>
            <m:ctrlPr>
              <w:rPr>
                <w:rFonts w:ascii="Cambria Math" w:hAnsi="Cambria Math"/>
                <w:i/>
                <w:lang w:val="es-CO"/>
              </w:rPr>
            </m:ctrlPr>
          </m:sSubPr>
          <m:e>
            <m:acc>
              <m:accPr>
                <m:ctrlPr>
                  <w:rPr>
                    <w:rFonts w:ascii="Cambria Math" w:hAnsi="Cambria Math"/>
                    <w:i/>
                    <w:lang w:val="es-CO"/>
                  </w:rPr>
                </m:ctrlPr>
              </m:accPr>
              <m:e>
                <m:r>
                  <w:rPr>
                    <w:rFonts w:ascii="Cambria Math" w:hAnsi="Cambria Math"/>
                    <w:lang w:val="es-CO"/>
                  </w:rPr>
                  <m:t>Ren</m:t>
                </m:r>
              </m:e>
            </m:acc>
          </m:e>
          <m:sub>
            <m:r>
              <w:rPr>
                <w:rFonts w:ascii="Cambria Math" w:hAnsi="Cambria Math"/>
                <w:lang w:val="es-CO"/>
              </w:rPr>
              <m:t xml:space="preserve">j </m:t>
            </m:r>
          </m:sub>
        </m:sSub>
      </m:oMath>
      <w:r w:rsidR="00A64D4D">
        <w:rPr>
          <w:rFonts w:ascii="Cambria" w:eastAsiaTheme="minorEastAsia" w:hAnsi="Cambria"/>
          <w:lang w:val="es-CO"/>
        </w:rPr>
        <w:t xml:space="preserve">, el rendimiento propio de la prueba saber 11 y las diferentes </w:t>
      </w:r>
      <w:r w:rsidR="00F23FE9">
        <w:rPr>
          <w:rFonts w:ascii="Cambria" w:eastAsiaTheme="minorEastAsia" w:hAnsi="Cambria"/>
          <w:lang w:val="es-CO"/>
        </w:rPr>
        <w:t>variables</w:t>
      </w:r>
      <w:r w:rsidR="00A64D4D">
        <w:rPr>
          <w:rFonts w:ascii="Cambria" w:eastAsiaTheme="minorEastAsia" w:hAnsi="Cambria"/>
          <w:lang w:val="es-CO"/>
        </w:rPr>
        <w:t xml:space="preserve"> socioeconómicas del individuo y su par. La variable del </w:t>
      </w:r>
      <w:r w:rsidR="00F23FE9">
        <w:rPr>
          <w:rFonts w:ascii="Cambria" w:eastAsiaTheme="minorEastAsia" w:hAnsi="Cambria"/>
          <w:lang w:val="es-CO"/>
        </w:rPr>
        <w:t>rendimiento</w:t>
      </w:r>
      <w:r w:rsidR="00A64D4D">
        <w:rPr>
          <w:rFonts w:ascii="Cambria" w:eastAsiaTheme="minorEastAsia" w:hAnsi="Cambria"/>
          <w:lang w:val="es-CO"/>
        </w:rPr>
        <w:t xml:space="preserve"> del par esta </w:t>
      </w:r>
      <w:r w:rsidR="00F23FE9">
        <w:rPr>
          <w:rFonts w:ascii="Cambria" w:eastAsiaTheme="minorEastAsia" w:hAnsi="Cambria"/>
          <w:lang w:val="es-CO"/>
        </w:rPr>
        <w:t>instrumentada</w:t>
      </w:r>
      <w:r w:rsidR="00A64D4D">
        <w:rPr>
          <w:rFonts w:ascii="Cambria" w:eastAsiaTheme="minorEastAsia" w:hAnsi="Cambria"/>
          <w:lang w:val="es-CO"/>
        </w:rPr>
        <w:t xml:space="preserve"> por el promedio de la prueba saber 11 en el colegio del par.  </w:t>
      </w:r>
    </w:p>
    <w:p w:rsidR="00A64D4D" w:rsidRDefault="00A64D4D" w:rsidP="00E04723">
      <w:pPr>
        <w:jc w:val="both"/>
        <w:rPr>
          <w:rFonts w:ascii="Cambria" w:eastAsiaTheme="minorEastAsia" w:hAnsi="Cambria"/>
          <w:lang w:val="es-CO"/>
        </w:rPr>
      </w:pPr>
      <w:r>
        <w:rPr>
          <w:rFonts w:ascii="Cambria" w:eastAsiaTheme="minorEastAsia" w:hAnsi="Cambria"/>
          <w:lang w:val="es-CO"/>
        </w:rPr>
        <w:t xml:space="preserve">Para que un instrumento sea </w:t>
      </w:r>
      <w:r w:rsidR="00F23FE9">
        <w:rPr>
          <w:rFonts w:ascii="Cambria" w:eastAsiaTheme="minorEastAsia" w:hAnsi="Cambria"/>
          <w:lang w:val="es-CO"/>
        </w:rPr>
        <w:t>válido</w:t>
      </w:r>
      <w:r>
        <w:rPr>
          <w:rFonts w:ascii="Cambria" w:eastAsiaTheme="minorEastAsia" w:hAnsi="Cambria"/>
          <w:lang w:val="es-CO"/>
        </w:rPr>
        <w:t xml:space="preserve"> es importante que </w:t>
      </w:r>
      <w:r w:rsidR="00F23FE9">
        <w:rPr>
          <w:rFonts w:ascii="Cambria" w:eastAsiaTheme="minorEastAsia" w:hAnsi="Cambria"/>
          <w:lang w:val="es-CO"/>
        </w:rPr>
        <w:t>cumpla</w:t>
      </w:r>
      <w:r>
        <w:rPr>
          <w:rFonts w:ascii="Cambria" w:eastAsiaTheme="minorEastAsia" w:hAnsi="Cambria"/>
          <w:lang w:val="es-CO"/>
        </w:rPr>
        <w:t xml:space="preserve"> las dos siguientes condiciones: (1) que el instrumento sea relevante y (2) que se cumpla la restricción de exclusión. Para ver la relevancia del instrumento se analiza la relación entre el instrumento y la variable independiente a instrumentar </w:t>
      </w:r>
      <w:r w:rsidR="00244025">
        <w:rPr>
          <w:rFonts w:ascii="Cambria" w:eastAsiaTheme="minorEastAsia" w:hAnsi="Cambria"/>
          <w:lang w:val="es-CO"/>
        </w:rPr>
        <w:t xml:space="preserve">se hace la regresión de primera etapa, si la covarianza entre el instrumento y la variable es muy pequeño el instrumento es débil lo que producirá una </w:t>
      </w:r>
      <w:r w:rsidR="00F23FE9">
        <w:rPr>
          <w:rFonts w:ascii="Cambria" w:eastAsiaTheme="minorEastAsia" w:hAnsi="Cambria"/>
          <w:lang w:val="es-CO"/>
        </w:rPr>
        <w:t>sobreestimación</w:t>
      </w:r>
      <w:r w:rsidR="00244025">
        <w:rPr>
          <w:rFonts w:ascii="Cambria" w:eastAsiaTheme="minorEastAsia" w:hAnsi="Cambria"/>
          <w:lang w:val="es-CO"/>
        </w:rPr>
        <w:t xml:space="preserve"> del estimador por variables instrumentales.</w:t>
      </w:r>
      <w:r w:rsidR="00F23FE9">
        <w:rPr>
          <w:rFonts w:ascii="Cambria" w:eastAsiaTheme="minorEastAsia" w:hAnsi="Cambria"/>
          <w:lang w:val="es-CO"/>
        </w:rPr>
        <w:t xml:space="preserve"> </w:t>
      </w:r>
    </w:p>
    <w:p w:rsidR="00F23FE9" w:rsidRDefault="00F23FE9" w:rsidP="00E04723">
      <w:pPr>
        <w:jc w:val="both"/>
        <w:rPr>
          <w:rFonts w:ascii="Cambria" w:eastAsiaTheme="minorEastAsia" w:hAnsi="Cambria"/>
          <w:lang w:val="es-CO"/>
        </w:rPr>
      </w:pPr>
      <w:r>
        <w:rPr>
          <w:rFonts w:ascii="Cambria" w:eastAsiaTheme="minorEastAsia" w:hAnsi="Cambria"/>
          <w:lang w:val="es-CO"/>
        </w:rPr>
        <w:t xml:space="preserve">La restricción de exclusión es donde se pueden presentar algunos desafíos ya que no hay forma de garantizar completamente su cumplimiento. Es necesario que el instrumento no este correlacionado con el error </w:t>
      </w:r>
      <m:oMath>
        <m:r>
          <w:rPr>
            <w:rFonts w:ascii="Cambria Math" w:eastAsiaTheme="minorEastAsia" w:hAnsi="Cambria Math"/>
            <w:lang w:val="es-CO"/>
          </w:rPr>
          <m:t>cov</m:t>
        </m:r>
        <m:d>
          <m:dPr>
            <m:ctrlPr>
              <w:rPr>
                <w:rFonts w:ascii="Cambria Math" w:eastAsiaTheme="minorEastAsia" w:hAnsi="Cambria Math"/>
                <w:i/>
                <w:lang w:val="es-CO"/>
              </w:rPr>
            </m:ctrlPr>
          </m:dPr>
          <m:e>
            <m:r>
              <w:rPr>
                <w:rFonts w:ascii="Cambria Math" w:eastAsiaTheme="minorEastAsia" w:hAnsi="Cambria Math"/>
                <w:lang w:val="es-CO"/>
              </w:rPr>
              <m:t xml:space="preserve"> z, u</m:t>
            </m:r>
          </m:e>
        </m:d>
        <m:r>
          <w:rPr>
            <w:rFonts w:ascii="Cambria Math" w:eastAsiaTheme="minorEastAsia" w:hAnsi="Cambria Math"/>
            <w:lang w:val="es-CO"/>
          </w:rPr>
          <m:t>=0</m:t>
        </m:r>
      </m:oMath>
      <w:r>
        <w:rPr>
          <w:rFonts w:ascii="Cambria" w:eastAsiaTheme="minorEastAsia" w:hAnsi="Cambria"/>
          <w:lang w:val="es-CO"/>
        </w:rPr>
        <w:t xml:space="preserve"> para poder inferir causalidad. </w:t>
      </w:r>
    </w:p>
    <w:p w:rsidR="007D755C" w:rsidRPr="002B3CFD" w:rsidRDefault="007D755C" w:rsidP="00E04723">
      <w:pPr>
        <w:jc w:val="both"/>
        <w:rPr>
          <w:rFonts w:ascii="Cambria" w:hAnsi="Cambria"/>
          <w:lang w:val="es-CO"/>
        </w:rPr>
      </w:pPr>
    </w:p>
    <w:p w:rsidR="00E62E0E" w:rsidRDefault="00E62E0E" w:rsidP="00E62E0E">
      <w:pPr>
        <w:jc w:val="both"/>
        <w:rPr>
          <w:rFonts w:ascii="Cambria" w:hAnsi="Cambria"/>
          <w:lang w:val="es-CO"/>
        </w:rPr>
      </w:pPr>
      <w:r>
        <w:rPr>
          <w:rFonts w:ascii="Cambria" w:hAnsi="Cambria"/>
          <w:lang w:val="es-CO"/>
        </w:rPr>
        <w:t>Desafíos</w:t>
      </w:r>
    </w:p>
    <w:p w:rsidR="00F63F73" w:rsidRDefault="00F23FE9" w:rsidP="00E04723">
      <w:pPr>
        <w:jc w:val="both"/>
        <w:rPr>
          <w:rFonts w:ascii="Cambria" w:hAnsi="Cambria"/>
          <w:lang w:val="es-CO"/>
        </w:rPr>
      </w:pPr>
      <w:r>
        <w:rPr>
          <w:rFonts w:ascii="Cambria" w:hAnsi="Cambria"/>
          <w:lang w:val="es-CO"/>
        </w:rPr>
        <w:t xml:space="preserve">Uno de  los desafíos que podemos tener es que las redes de estudio estén compuestas por estudiantes del mismo curso, pues habría un sesgo en el efecto de par de estos estudiantes ya que el resultado del Saber 11 </w:t>
      </w:r>
      <w:r w:rsidR="0034208F">
        <w:rPr>
          <w:rFonts w:ascii="Cambria" w:hAnsi="Cambria"/>
          <w:lang w:val="es-CO"/>
        </w:rPr>
        <w:t>podría</w:t>
      </w:r>
      <w:r>
        <w:rPr>
          <w:rFonts w:ascii="Cambria" w:hAnsi="Cambria"/>
          <w:lang w:val="es-CO"/>
        </w:rPr>
        <w:t xml:space="preserve"> tener una relación </w:t>
      </w:r>
      <w:r w:rsidR="00492429">
        <w:rPr>
          <w:rFonts w:ascii="Cambria" w:hAnsi="Cambria"/>
          <w:lang w:val="es-CO"/>
        </w:rPr>
        <w:t xml:space="preserve">directa entre el instrumento y el outcome. </w:t>
      </w:r>
    </w:p>
    <w:p w:rsidR="00FC6BAE" w:rsidRDefault="00FC6BAE" w:rsidP="00E04723">
      <w:pPr>
        <w:jc w:val="both"/>
        <w:rPr>
          <w:rFonts w:ascii="Cambria" w:hAnsi="Cambria"/>
          <w:lang w:val="es-CO"/>
        </w:rPr>
      </w:pPr>
    </w:p>
    <w:p w:rsidR="00FC6BAE" w:rsidRDefault="0034208F" w:rsidP="00E04723">
      <w:pPr>
        <w:jc w:val="both"/>
        <w:rPr>
          <w:rFonts w:ascii="Cambria" w:hAnsi="Cambria"/>
          <w:lang w:val="es-CO"/>
        </w:rPr>
      </w:pPr>
      <w:r>
        <w:rPr>
          <w:rFonts w:ascii="Cambria" w:hAnsi="Cambria"/>
          <w:lang w:val="es-CO"/>
        </w:rPr>
        <w:t>Bibliografía</w:t>
      </w:r>
    </w:p>
    <w:p w:rsidR="00FC6BAE" w:rsidRPr="00FC6BAE" w:rsidRDefault="00FC6BAE" w:rsidP="00FC6BAE">
      <w:pPr>
        <w:autoSpaceDE w:val="0"/>
        <w:autoSpaceDN w:val="0"/>
        <w:adjustRightInd w:val="0"/>
        <w:spacing w:after="0" w:line="240" w:lineRule="auto"/>
        <w:rPr>
          <w:rFonts w:ascii="Cambria" w:hAnsi="Cambria"/>
          <w:lang w:val="es-CO"/>
        </w:rPr>
      </w:pPr>
      <w:r w:rsidRPr="00FC6BAE">
        <w:rPr>
          <w:rFonts w:ascii="Cambria" w:hAnsi="Cambria"/>
          <w:lang w:val="es-CO"/>
        </w:rPr>
        <w:t>An, W., (2011). “Models and Methods to Identify Peer Effects,” In: Scott, John, Carrington, Peter J.</w:t>
      </w:r>
    </w:p>
    <w:p w:rsidR="00FC6BAE" w:rsidRDefault="00FC6BAE" w:rsidP="00FC6BAE">
      <w:pPr>
        <w:autoSpaceDE w:val="0"/>
        <w:autoSpaceDN w:val="0"/>
        <w:adjustRightInd w:val="0"/>
        <w:spacing w:after="0" w:line="240" w:lineRule="auto"/>
        <w:rPr>
          <w:rFonts w:ascii="Cambria" w:hAnsi="Cambria"/>
          <w:lang w:val="es-CO"/>
        </w:rPr>
      </w:pPr>
      <w:r w:rsidRPr="00FC6BAE">
        <w:rPr>
          <w:rFonts w:ascii="Cambria" w:hAnsi="Cambria"/>
          <w:lang w:val="es-CO"/>
        </w:rPr>
        <w:t>(Eds.), The Sage Handbook of Social Network Analysis, The Sage Publications, London, 514-532.</w:t>
      </w:r>
    </w:p>
    <w:p w:rsidR="0034208F" w:rsidRPr="00FC6BAE" w:rsidRDefault="0034208F" w:rsidP="00FC6BAE">
      <w:pPr>
        <w:autoSpaceDE w:val="0"/>
        <w:autoSpaceDN w:val="0"/>
        <w:adjustRightInd w:val="0"/>
        <w:spacing w:after="0" w:line="240" w:lineRule="auto"/>
        <w:rPr>
          <w:rFonts w:ascii="Cambria" w:hAnsi="Cambria"/>
          <w:lang w:val="es-CO"/>
        </w:rPr>
      </w:pPr>
    </w:p>
    <w:p w:rsidR="0034208F" w:rsidRDefault="00FC6BAE" w:rsidP="00FC6BAE">
      <w:pPr>
        <w:autoSpaceDE w:val="0"/>
        <w:autoSpaceDN w:val="0"/>
        <w:adjustRightInd w:val="0"/>
        <w:spacing w:after="0" w:line="240" w:lineRule="auto"/>
        <w:rPr>
          <w:rFonts w:ascii="Cambria" w:hAnsi="Cambria"/>
          <w:lang w:val="es-CO"/>
        </w:rPr>
      </w:pPr>
      <w:r w:rsidRPr="00FC6BAE">
        <w:rPr>
          <w:rFonts w:ascii="Cambria" w:hAnsi="Cambria"/>
          <w:lang w:val="es-CO"/>
        </w:rPr>
        <w:lastRenderedPageBreak/>
        <w:t>An, W., (2015). “Instrumental Variables Estimates of Peer Effects in Social Networks,” Social Science</w:t>
      </w:r>
    </w:p>
    <w:p w:rsidR="0034208F" w:rsidRDefault="0034208F" w:rsidP="00FC6BAE">
      <w:pPr>
        <w:autoSpaceDE w:val="0"/>
        <w:autoSpaceDN w:val="0"/>
        <w:adjustRightInd w:val="0"/>
        <w:spacing w:after="0" w:line="240" w:lineRule="auto"/>
        <w:rPr>
          <w:rFonts w:ascii="Cambria" w:hAnsi="Cambria"/>
          <w:lang w:val="es-CO"/>
        </w:rPr>
      </w:pPr>
    </w:p>
    <w:p w:rsidR="00FC6BAE" w:rsidRDefault="00FC6BAE" w:rsidP="00FC6BAE">
      <w:pPr>
        <w:autoSpaceDE w:val="0"/>
        <w:autoSpaceDN w:val="0"/>
        <w:adjustRightInd w:val="0"/>
        <w:spacing w:after="0" w:line="240" w:lineRule="auto"/>
        <w:rPr>
          <w:rFonts w:ascii="Cambria" w:hAnsi="Cambria"/>
          <w:lang w:val="en-US"/>
        </w:rPr>
      </w:pPr>
      <w:r w:rsidRPr="00FC6BAE">
        <w:rPr>
          <w:rFonts w:ascii="Cambria" w:hAnsi="Cambria"/>
          <w:lang w:val="en-US"/>
        </w:rPr>
        <w:t xml:space="preserve">Carrell, S. E., Fullerton, R. L., West, J. E., (2009). </w:t>
      </w:r>
      <w:r w:rsidRPr="00FC6BAE">
        <w:rPr>
          <w:rFonts w:ascii="Cambria" w:hAnsi="Cambria"/>
          <w:lang w:val="es-CO"/>
        </w:rPr>
        <w:t>“Does Your Cohort</w:t>
      </w:r>
      <w:r>
        <w:rPr>
          <w:rFonts w:ascii="Cambria" w:hAnsi="Cambria"/>
          <w:lang w:val="es-CO"/>
        </w:rPr>
        <w:t xml:space="preserve"> Matter? </w:t>
      </w:r>
      <w:r w:rsidRPr="00FC6BAE">
        <w:rPr>
          <w:rFonts w:ascii="Cambria" w:hAnsi="Cambria"/>
          <w:lang w:val="en-US"/>
        </w:rPr>
        <w:t xml:space="preserve">Measuring Peer Effects in </w:t>
      </w:r>
      <w:r w:rsidRPr="00FC6BAE">
        <w:rPr>
          <w:rFonts w:ascii="Cambria" w:hAnsi="Cambria"/>
          <w:lang w:val="en-US"/>
        </w:rPr>
        <w:t>College Achievement,” Journal of Labor Economics, 27(3), 439-464.</w:t>
      </w:r>
    </w:p>
    <w:p w:rsidR="0034208F" w:rsidRPr="00FC6BAE" w:rsidRDefault="0034208F" w:rsidP="00FC6BAE">
      <w:pPr>
        <w:autoSpaceDE w:val="0"/>
        <w:autoSpaceDN w:val="0"/>
        <w:adjustRightInd w:val="0"/>
        <w:spacing w:after="0" w:line="240" w:lineRule="auto"/>
        <w:rPr>
          <w:rFonts w:ascii="Cambria" w:hAnsi="Cambria"/>
          <w:lang w:val="en-US"/>
        </w:rPr>
      </w:pPr>
    </w:p>
    <w:p w:rsidR="00FC6BAE" w:rsidRPr="00FC6BAE" w:rsidRDefault="00FC6BAE" w:rsidP="00FC6BAE">
      <w:pPr>
        <w:autoSpaceDE w:val="0"/>
        <w:autoSpaceDN w:val="0"/>
        <w:adjustRightInd w:val="0"/>
        <w:spacing w:after="0" w:line="240" w:lineRule="auto"/>
        <w:rPr>
          <w:rFonts w:ascii="Cambria" w:hAnsi="Cambria"/>
          <w:lang w:val="en-US"/>
        </w:rPr>
      </w:pPr>
      <w:r w:rsidRPr="00FC6BAE">
        <w:rPr>
          <w:rFonts w:ascii="Cambria" w:hAnsi="Cambria"/>
          <w:lang w:val="en-US"/>
        </w:rPr>
        <w:t>Coleman, J. S., Campbell, E. Q., Hobson, C. J., McPartland, J., Mood, A. M., Weinfeld, F. D., York,</w:t>
      </w:r>
    </w:p>
    <w:p w:rsidR="00FC6BAE" w:rsidRPr="00FC6BAE" w:rsidRDefault="00FC6BAE" w:rsidP="00FC6BAE">
      <w:pPr>
        <w:autoSpaceDE w:val="0"/>
        <w:autoSpaceDN w:val="0"/>
        <w:adjustRightInd w:val="0"/>
        <w:spacing w:after="0" w:line="240" w:lineRule="auto"/>
        <w:rPr>
          <w:rFonts w:ascii="Cambria" w:hAnsi="Cambria"/>
          <w:lang w:val="es-CO"/>
        </w:rPr>
      </w:pPr>
      <w:r w:rsidRPr="00FC6BAE">
        <w:rPr>
          <w:rFonts w:ascii="Cambria" w:hAnsi="Cambria"/>
          <w:lang w:val="es-CO"/>
        </w:rPr>
        <w:t>R. L., (1966). Equality of Educational Opportunity, U. S. Department of Health, Education, and</w:t>
      </w:r>
    </w:p>
    <w:p w:rsidR="00FC6BAE" w:rsidRDefault="00FC6BAE" w:rsidP="00FC6BAE">
      <w:pPr>
        <w:autoSpaceDE w:val="0"/>
        <w:autoSpaceDN w:val="0"/>
        <w:adjustRightInd w:val="0"/>
        <w:spacing w:after="0" w:line="240" w:lineRule="auto"/>
        <w:rPr>
          <w:rFonts w:ascii="Cambria" w:hAnsi="Cambria"/>
          <w:lang w:val="es-CO"/>
        </w:rPr>
      </w:pPr>
      <w:r w:rsidRPr="00FC6BAE">
        <w:rPr>
          <w:rFonts w:ascii="Cambria" w:hAnsi="Cambria"/>
          <w:lang w:val="es-CO"/>
        </w:rPr>
        <w:t>Welfare, Office of Education, Government Printing Office.</w:t>
      </w:r>
    </w:p>
    <w:p w:rsidR="0034208F" w:rsidRPr="00FC6BAE" w:rsidRDefault="0034208F" w:rsidP="00FC6BAE">
      <w:pPr>
        <w:autoSpaceDE w:val="0"/>
        <w:autoSpaceDN w:val="0"/>
        <w:adjustRightInd w:val="0"/>
        <w:spacing w:after="0" w:line="240" w:lineRule="auto"/>
        <w:rPr>
          <w:rFonts w:ascii="Cambria" w:hAnsi="Cambria"/>
          <w:lang w:val="es-CO"/>
        </w:rPr>
      </w:pPr>
    </w:p>
    <w:p w:rsidR="00FC6BAE" w:rsidRPr="00FC6BAE" w:rsidRDefault="00FC6BAE" w:rsidP="00FC6BAE">
      <w:pPr>
        <w:autoSpaceDE w:val="0"/>
        <w:autoSpaceDN w:val="0"/>
        <w:adjustRightInd w:val="0"/>
        <w:spacing w:after="0" w:line="240" w:lineRule="auto"/>
        <w:rPr>
          <w:rFonts w:ascii="Cambria" w:hAnsi="Cambria"/>
          <w:lang w:val="es-CO"/>
        </w:rPr>
      </w:pPr>
      <w:r w:rsidRPr="00FC6BAE">
        <w:rPr>
          <w:rFonts w:ascii="Cambria" w:hAnsi="Cambria"/>
          <w:lang w:val="es-CO"/>
        </w:rPr>
        <w:t>Hasan, S., Bagde, S., (2013). “The Mechanics of Social Capital and Academic Performance in an</w:t>
      </w:r>
    </w:p>
    <w:p w:rsidR="00FC6BAE" w:rsidRDefault="00FC6BAE" w:rsidP="00FC6BAE">
      <w:pPr>
        <w:rPr>
          <w:rFonts w:ascii="Cambria" w:hAnsi="Cambria"/>
          <w:lang w:val="es-CO"/>
        </w:rPr>
      </w:pPr>
      <w:r w:rsidRPr="00FC6BAE">
        <w:rPr>
          <w:rFonts w:ascii="Cambria" w:hAnsi="Cambria"/>
          <w:lang w:val="es-CO"/>
        </w:rPr>
        <w:t>Indian College,” American Sociological Review, 78(6), 1009-1032.</w:t>
      </w:r>
    </w:p>
    <w:p w:rsidR="00FC6BAE" w:rsidRDefault="00FC6BAE" w:rsidP="00FC6BAE">
      <w:pPr>
        <w:autoSpaceDE w:val="0"/>
        <w:autoSpaceDN w:val="0"/>
        <w:adjustRightInd w:val="0"/>
        <w:spacing w:after="0" w:line="240" w:lineRule="auto"/>
        <w:rPr>
          <w:rFonts w:ascii="Cambria" w:hAnsi="Cambria"/>
          <w:lang w:val="en-US"/>
        </w:rPr>
      </w:pPr>
      <w:r w:rsidRPr="0034208F">
        <w:rPr>
          <w:rFonts w:ascii="Cambria" w:hAnsi="Cambria"/>
          <w:lang w:val="en-US"/>
        </w:rPr>
        <w:t>O’Malley, A. J., Elwert, F., Rosenquist, J. N., Zaslavsky, A. M., Christakis, N. A., (2014). “</w:t>
      </w:r>
      <w:r w:rsidRPr="0034208F">
        <w:rPr>
          <w:rFonts w:ascii="Cambria" w:hAnsi="Cambria"/>
          <w:lang w:val="en-US"/>
        </w:rPr>
        <w:t xml:space="preserve">Estimating </w:t>
      </w:r>
      <w:r w:rsidRPr="0034208F">
        <w:rPr>
          <w:rFonts w:ascii="Cambria" w:hAnsi="Cambria"/>
          <w:lang w:val="en-US"/>
        </w:rPr>
        <w:t>Peer Effects in Longitudinal Dyadic Data Using Instrumental Variables,” Biometrics, 70, 506-515.</w:t>
      </w:r>
    </w:p>
    <w:p w:rsidR="0034208F" w:rsidRPr="0034208F" w:rsidRDefault="0034208F" w:rsidP="00FC6BAE">
      <w:pPr>
        <w:autoSpaceDE w:val="0"/>
        <w:autoSpaceDN w:val="0"/>
        <w:adjustRightInd w:val="0"/>
        <w:spacing w:after="0" w:line="240" w:lineRule="auto"/>
        <w:rPr>
          <w:rFonts w:ascii="Cambria" w:hAnsi="Cambria"/>
          <w:lang w:val="en-US"/>
        </w:rPr>
      </w:pPr>
    </w:p>
    <w:p w:rsidR="00FC6BAE" w:rsidRPr="0034208F" w:rsidRDefault="00FC6BAE" w:rsidP="00FC6BAE">
      <w:pPr>
        <w:autoSpaceDE w:val="0"/>
        <w:autoSpaceDN w:val="0"/>
        <w:adjustRightInd w:val="0"/>
        <w:spacing w:after="0" w:line="240" w:lineRule="auto"/>
        <w:rPr>
          <w:rFonts w:ascii="Cambria" w:hAnsi="Cambria"/>
          <w:lang w:val="en-US"/>
        </w:rPr>
      </w:pPr>
      <w:r w:rsidRPr="0034208F">
        <w:rPr>
          <w:rFonts w:ascii="Cambria" w:hAnsi="Cambria"/>
          <w:lang w:val="en-US"/>
        </w:rPr>
        <w:t>Rumberger, R. W., Palardy, G. J., (2005). “Test Scores, Dropout Rates, and Transfer Rates as</w:t>
      </w:r>
    </w:p>
    <w:p w:rsidR="00FC6BAE" w:rsidRPr="0034208F" w:rsidRDefault="00FC6BAE" w:rsidP="00FC6BAE">
      <w:pPr>
        <w:autoSpaceDE w:val="0"/>
        <w:autoSpaceDN w:val="0"/>
        <w:adjustRightInd w:val="0"/>
        <w:spacing w:after="0" w:line="240" w:lineRule="auto"/>
        <w:rPr>
          <w:rFonts w:ascii="Cambria" w:hAnsi="Cambria"/>
          <w:lang w:val="en-US"/>
        </w:rPr>
      </w:pPr>
      <w:r w:rsidRPr="0034208F">
        <w:rPr>
          <w:rFonts w:ascii="Cambria" w:hAnsi="Cambria"/>
          <w:lang w:val="en-US"/>
        </w:rPr>
        <w:t>Alternative Indicators of High School Performance,” American Educational Research Journal,</w:t>
      </w:r>
    </w:p>
    <w:p w:rsidR="00FC6BAE" w:rsidRDefault="00FC6BAE" w:rsidP="00FC6BAE">
      <w:pPr>
        <w:autoSpaceDE w:val="0"/>
        <w:autoSpaceDN w:val="0"/>
        <w:adjustRightInd w:val="0"/>
        <w:spacing w:after="0" w:line="240" w:lineRule="auto"/>
        <w:rPr>
          <w:rFonts w:ascii="Cambria" w:hAnsi="Cambria"/>
          <w:lang w:val="en-US"/>
        </w:rPr>
      </w:pPr>
      <w:r w:rsidRPr="0034208F">
        <w:rPr>
          <w:rFonts w:ascii="Cambria" w:hAnsi="Cambria"/>
          <w:lang w:val="en-US"/>
        </w:rPr>
        <w:t>42(1), 3-42.</w:t>
      </w:r>
    </w:p>
    <w:p w:rsidR="0034208F" w:rsidRPr="0034208F" w:rsidRDefault="0034208F" w:rsidP="00FC6BAE">
      <w:pPr>
        <w:autoSpaceDE w:val="0"/>
        <w:autoSpaceDN w:val="0"/>
        <w:adjustRightInd w:val="0"/>
        <w:spacing w:after="0" w:line="240" w:lineRule="auto"/>
        <w:rPr>
          <w:rFonts w:ascii="Cambria" w:hAnsi="Cambria"/>
          <w:lang w:val="en-US"/>
        </w:rPr>
      </w:pPr>
    </w:p>
    <w:p w:rsidR="00FC6BAE" w:rsidRDefault="00FC6BAE" w:rsidP="00FC6BAE">
      <w:pPr>
        <w:autoSpaceDE w:val="0"/>
        <w:autoSpaceDN w:val="0"/>
        <w:adjustRightInd w:val="0"/>
        <w:spacing w:after="0" w:line="240" w:lineRule="auto"/>
        <w:rPr>
          <w:rFonts w:ascii="Cambria" w:hAnsi="Cambria"/>
          <w:lang w:val="en-US"/>
        </w:rPr>
      </w:pPr>
      <w:r w:rsidRPr="0034208F">
        <w:rPr>
          <w:rFonts w:ascii="Cambria" w:hAnsi="Cambria"/>
          <w:lang w:val="en-US"/>
        </w:rPr>
        <w:t>Sacerdote, B., (2001). “Peer Effects with Random Assignment: Results for Dartmouth Roommates,”</w:t>
      </w:r>
      <w:r w:rsidRPr="0034208F">
        <w:rPr>
          <w:rFonts w:ascii="Cambria" w:hAnsi="Cambria"/>
          <w:lang w:val="en-US"/>
        </w:rPr>
        <w:t xml:space="preserve"> </w:t>
      </w:r>
      <w:r w:rsidRPr="0034208F">
        <w:rPr>
          <w:rFonts w:ascii="Cambria" w:hAnsi="Cambria"/>
          <w:lang w:val="en-US"/>
        </w:rPr>
        <w:t>Quarterly Journal of Economics, 116(2), 681-704.</w:t>
      </w:r>
    </w:p>
    <w:p w:rsidR="0034208F" w:rsidRPr="0034208F" w:rsidRDefault="0034208F" w:rsidP="00FC6BAE">
      <w:pPr>
        <w:autoSpaceDE w:val="0"/>
        <w:autoSpaceDN w:val="0"/>
        <w:adjustRightInd w:val="0"/>
        <w:spacing w:after="0" w:line="240" w:lineRule="auto"/>
        <w:rPr>
          <w:rFonts w:ascii="Cambria" w:hAnsi="Cambria"/>
          <w:lang w:val="en-US"/>
        </w:rPr>
      </w:pPr>
    </w:p>
    <w:p w:rsidR="00FC6BAE" w:rsidRPr="0034208F" w:rsidRDefault="00FC6BAE" w:rsidP="00FC6BAE">
      <w:pPr>
        <w:autoSpaceDE w:val="0"/>
        <w:autoSpaceDN w:val="0"/>
        <w:adjustRightInd w:val="0"/>
        <w:spacing w:after="0" w:line="240" w:lineRule="auto"/>
        <w:rPr>
          <w:rFonts w:ascii="Cambria" w:hAnsi="Cambria"/>
          <w:lang w:val="en-US"/>
        </w:rPr>
      </w:pPr>
      <w:r w:rsidRPr="0034208F">
        <w:rPr>
          <w:rFonts w:ascii="Cambria" w:hAnsi="Cambria"/>
          <w:lang w:val="en-US"/>
        </w:rPr>
        <w:t>Sacerdote, B., (2011). “Peer Effects in Education: How Might They Work, How Big Are They and</w:t>
      </w:r>
    </w:p>
    <w:p w:rsidR="00FC6BAE" w:rsidRPr="0034208F" w:rsidRDefault="00FC6BAE" w:rsidP="00FC6BAE">
      <w:pPr>
        <w:autoSpaceDE w:val="0"/>
        <w:autoSpaceDN w:val="0"/>
        <w:adjustRightInd w:val="0"/>
        <w:spacing w:after="0" w:line="240" w:lineRule="auto"/>
        <w:rPr>
          <w:rFonts w:ascii="Cambria" w:hAnsi="Cambria"/>
          <w:lang w:val="en-US"/>
        </w:rPr>
      </w:pPr>
      <w:r w:rsidRPr="0034208F">
        <w:rPr>
          <w:rFonts w:ascii="Cambria" w:hAnsi="Cambria"/>
          <w:lang w:val="en-US"/>
        </w:rPr>
        <w:t>How Much Do We Know Thus Far?” In: Hanushek, E., Ma</w:t>
      </w:r>
      <w:r w:rsidRPr="0034208F">
        <w:rPr>
          <w:rFonts w:ascii="Cambria" w:hAnsi="Cambria"/>
          <w:lang w:val="en-US"/>
        </w:rPr>
        <w:t xml:space="preserve">chin, S., Woessmann, L. (Eds.), </w:t>
      </w:r>
      <w:r w:rsidRPr="0034208F">
        <w:rPr>
          <w:rFonts w:ascii="Cambria" w:hAnsi="Cambria"/>
          <w:lang w:val="en-US"/>
        </w:rPr>
        <w:t>Handbook of the Economics of Education, First edition, 3. Elsevier.</w:t>
      </w:r>
    </w:p>
    <w:p w:rsidR="00FC6BAE" w:rsidRPr="00FC6BAE" w:rsidRDefault="00FC6BAE" w:rsidP="00E04723">
      <w:pPr>
        <w:jc w:val="both"/>
        <w:rPr>
          <w:rFonts w:ascii="Cambria" w:hAnsi="Cambria"/>
          <w:lang w:val="es-CO"/>
        </w:rPr>
      </w:pPr>
    </w:p>
    <w:p w:rsidR="00492429" w:rsidRPr="00FC6BAE" w:rsidRDefault="00492429" w:rsidP="00E04723">
      <w:pPr>
        <w:jc w:val="both"/>
        <w:rPr>
          <w:rFonts w:ascii="Cambria" w:hAnsi="Cambria"/>
          <w:lang w:val="es-CO"/>
        </w:rPr>
      </w:pPr>
    </w:p>
    <w:sectPr w:rsidR="00492429" w:rsidRPr="00FC6B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894" w:rsidRDefault="005D3894" w:rsidP="00E04723">
      <w:pPr>
        <w:spacing w:after="0" w:line="240" w:lineRule="auto"/>
      </w:pPr>
      <w:r>
        <w:separator/>
      </w:r>
    </w:p>
  </w:endnote>
  <w:endnote w:type="continuationSeparator" w:id="0">
    <w:p w:rsidR="005D3894" w:rsidRDefault="005D3894" w:rsidP="00E04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894" w:rsidRDefault="005D3894" w:rsidP="00E04723">
      <w:pPr>
        <w:spacing w:after="0" w:line="240" w:lineRule="auto"/>
      </w:pPr>
      <w:r>
        <w:separator/>
      </w:r>
    </w:p>
  </w:footnote>
  <w:footnote w:type="continuationSeparator" w:id="0">
    <w:p w:rsidR="005D3894" w:rsidRDefault="005D3894" w:rsidP="00E047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CFD"/>
    <w:rsid w:val="000070D1"/>
    <w:rsid w:val="0016769A"/>
    <w:rsid w:val="001D4F35"/>
    <w:rsid w:val="00244025"/>
    <w:rsid w:val="002667A0"/>
    <w:rsid w:val="002B3CFD"/>
    <w:rsid w:val="002B6F05"/>
    <w:rsid w:val="00340F24"/>
    <w:rsid w:val="0034208F"/>
    <w:rsid w:val="0037759A"/>
    <w:rsid w:val="00397F4A"/>
    <w:rsid w:val="00425D3B"/>
    <w:rsid w:val="00492429"/>
    <w:rsid w:val="004E1404"/>
    <w:rsid w:val="005875DC"/>
    <w:rsid w:val="005D3894"/>
    <w:rsid w:val="0061296D"/>
    <w:rsid w:val="0070060D"/>
    <w:rsid w:val="007D755C"/>
    <w:rsid w:val="008E3533"/>
    <w:rsid w:val="00A64D4D"/>
    <w:rsid w:val="00AC6F24"/>
    <w:rsid w:val="00B72D41"/>
    <w:rsid w:val="00C55094"/>
    <w:rsid w:val="00D441E9"/>
    <w:rsid w:val="00DC7BFD"/>
    <w:rsid w:val="00E04723"/>
    <w:rsid w:val="00E62E0E"/>
    <w:rsid w:val="00EA1311"/>
    <w:rsid w:val="00F2375C"/>
    <w:rsid w:val="00F23FE9"/>
    <w:rsid w:val="00F26588"/>
    <w:rsid w:val="00F50FB0"/>
    <w:rsid w:val="00F63F73"/>
    <w:rsid w:val="00FC6B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BF448-18DB-4833-A906-45970C147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C6BAE"/>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B6F05"/>
    <w:rPr>
      <w:color w:val="808080"/>
    </w:rPr>
  </w:style>
  <w:style w:type="paragraph" w:styleId="Encabezado">
    <w:name w:val="header"/>
    <w:basedOn w:val="Normal"/>
    <w:link w:val="EncabezadoCar"/>
    <w:uiPriority w:val="99"/>
    <w:unhideWhenUsed/>
    <w:rsid w:val="00E0472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04723"/>
  </w:style>
  <w:style w:type="paragraph" w:styleId="Piedepgina">
    <w:name w:val="footer"/>
    <w:basedOn w:val="Normal"/>
    <w:link w:val="PiedepginaCar"/>
    <w:uiPriority w:val="99"/>
    <w:unhideWhenUsed/>
    <w:rsid w:val="00E0472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04723"/>
  </w:style>
  <w:style w:type="character" w:customStyle="1" w:styleId="Ttulo1Car">
    <w:name w:val="Título 1 Car"/>
    <w:basedOn w:val="Fuentedeprrafopredeter"/>
    <w:link w:val="Ttulo1"/>
    <w:uiPriority w:val="9"/>
    <w:rsid w:val="00FC6BAE"/>
    <w:rPr>
      <w:rFonts w:asciiTheme="majorHAnsi" w:eastAsiaTheme="majorEastAsia" w:hAnsiTheme="majorHAnsi" w:cstheme="majorBidi"/>
      <w:color w:val="2E74B5" w:themeColor="accent1" w:themeShade="BF"/>
      <w:sz w:val="32"/>
      <w:szCs w:val="3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B16EE-E991-486D-9CC3-3836D447C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1613</TotalTime>
  <Pages>3</Pages>
  <Words>1117</Words>
  <Characters>6146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Catalina Valencia Rodriguez</dc:creator>
  <cp:keywords/>
  <dc:description/>
  <cp:lastModifiedBy>Camila Catalina Valencia Rodriguez</cp:lastModifiedBy>
  <cp:revision>5</cp:revision>
  <dcterms:created xsi:type="dcterms:W3CDTF">2016-10-10T15:42:00Z</dcterms:created>
  <dcterms:modified xsi:type="dcterms:W3CDTF">2016-10-12T17:46:00Z</dcterms:modified>
</cp:coreProperties>
</file>